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42" w:rsidRPr="00C66942" w:rsidRDefault="00704D58" w:rsidP="00C66942">
      <w:pPr>
        <w:ind w:firstLine="567"/>
        <w:jc w:val="both"/>
        <w:rPr>
          <w:rFonts w:ascii="Calibri" w:hAnsi="Calibri"/>
          <w:color w:val="000000"/>
        </w:rPr>
      </w:pPr>
      <w:r w:rsidRPr="00704D58">
        <w:rPr>
          <w:rFonts w:ascii="Calibri" w:hAnsi="Calibri"/>
          <w:color w:val="000000"/>
        </w:rPr>
        <w:t xml:space="preserve">Žemiau pateikiami duomenys apie darbuotojų vidutinį darbo užmokestį </w:t>
      </w:r>
      <w:r w:rsidRPr="00704D58">
        <w:rPr>
          <w:rFonts w:ascii="Calibri" w:hAnsi="Calibri"/>
          <w:i/>
          <w:color w:val="000000"/>
        </w:rPr>
        <w:t>eurais</w:t>
      </w:r>
      <w:r w:rsidR="00C66942">
        <w:rPr>
          <w:rFonts w:ascii="Calibri" w:hAnsi="Calibri"/>
          <w:i/>
          <w:color w:val="000000"/>
        </w:rPr>
        <w:t xml:space="preserve"> </w:t>
      </w:r>
      <w:r w:rsidR="00E11EEB">
        <w:rPr>
          <w:rFonts w:ascii="Calibri" w:hAnsi="Calibri"/>
          <w:color w:val="000000"/>
        </w:rPr>
        <w:t>nuo 2020 metų sausio</w:t>
      </w:r>
      <w:r w:rsidR="00C66942" w:rsidRPr="00C66942">
        <w:rPr>
          <w:rFonts w:ascii="Calibri" w:hAnsi="Calibri"/>
          <w:color w:val="000000"/>
        </w:rPr>
        <w:t xml:space="preserve"> 1 dienos.</w:t>
      </w:r>
    </w:p>
    <w:p w:rsidR="00E11EEB" w:rsidRDefault="00C66942" w:rsidP="00AA7340">
      <w:pPr>
        <w:ind w:firstLine="567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</w:rPr>
        <w:t xml:space="preserve">Pagrindas: </w:t>
      </w:r>
      <w:r w:rsidR="00F171AE">
        <w:rPr>
          <w:rFonts w:ascii="Calibri" w:hAnsi="Calibri"/>
          <w:color w:val="000000"/>
        </w:rPr>
        <w:t xml:space="preserve"> VPS administravimo taisyklių </w:t>
      </w:r>
      <w:r w:rsidR="009D155B">
        <w:rPr>
          <w:rFonts w:ascii="Calibri" w:hAnsi="Calibri"/>
          <w:color w:val="000000"/>
        </w:rPr>
        <w:t>14 punkto lentelės 1.1.1. punktas</w:t>
      </w:r>
      <w:r w:rsidR="00011A0C">
        <w:rPr>
          <w:rFonts w:ascii="Calibri" w:hAnsi="Calibri"/>
          <w:color w:val="000000"/>
        </w:rPr>
        <w:t xml:space="preserve"> </w:t>
      </w:r>
      <w:r w:rsidR="009D155B">
        <w:rPr>
          <w:rFonts w:ascii="Calibri" w:hAnsi="Calibri"/>
          <w:color w:val="000000"/>
        </w:rPr>
        <w:t xml:space="preserve">ir </w:t>
      </w:r>
      <w:r w:rsidR="00E11EEB">
        <w:rPr>
          <w:rFonts w:ascii="Calibri" w:hAnsi="Calibri"/>
          <w:color w:val="000000"/>
        </w:rPr>
        <w:t>LR valstybės politikų, teisėjų, valstybės pareigūnų, valstybės ir savivaldybės biudžetinių įstaigų darbuotojų pareiginės algos (atlyginimo) bazinio dydžio, taikomo 2020 metais, 2019 m. gruodžio 5 d. įstatymas</w:t>
      </w:r>
    </w:p>
    <w:p w:rsidR="00AA7340" w:rsidRDefault="00E11EEB" w:rsidP="00E11EE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Nr.XIII-2608. </w:t>
      </w:r>
    </w:p>
    <w:p w:rsidR="00E11EEB" w:rsidRPr="00AA7340" w:rsidRDefault="00E11EEB" w:rsidP="00AA7340">
      <w:pPr>
        <w:ind w:firstLine="567"/>
        <w:jc w:val="both"/>
        <w:rPr>
          <w:rFonts w:ascii="Calibri" w:hAnsi="Calibri"/>
          <w:bCs/>
          <w:color w:val="000000"/>
        </w:rPr>
      </w:pPr>
    </w:p>
    <w:p w:rsidR="00AA7340" w:rsidRDefault="00AA7340" w:rsidP="00704D58">
      <w:pPr>
        <w:pStyle w:val="a"/>
        <w:shd w:val="clear" w:color="auto" w:fill="FFFFFF"/>
        <w:spacing w:line="240" w:lineRule="auto"/>
        <w:rPr>
          <w:rFonts w:ascii="Calibri Light" w:hAnsi="Calibri Light"/>
          <w:color w:val="000000"/>
        </w:rPr>
      </w:pPr>
    </w:p>
    <w:tbl>
      <w:tblPr>
        <w:tblpPr w:leftFromText="180" w:rightFromText="180" w:vertAnchor="page" w:horzAnchor="margin" w:tblpY="3346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2410"/>
        <w:gridCol w:w="2410"/>
      </w:tblGrid>
      <w:tr w:rsidR="00AA7340" w:rsidRPr="001707D8" w:rsidTr="00E11EEB">
        <w:trPr>
          <w:tblCellSpacing w:w="0" w:type="dxa"/>
        </w:trPr>
        <w:tc>
          <w:tcPr>
            <w:tcW w:w="4688" w:type="dxa"/>
          </w:tcPr>
          <w:p w:rsidR="00AA7340" w:rsidRPr="001707D8" w:rsidRDefault="00AA7340" w:rsidP="00E11EEB">
            <w:pPr>
              <w:jc w:val="center"/>
              <w:rPr>
                <w:rFonts w:ascii="Cambria" w:hAnsi="Cambria"/>
                <w:color w:val="000000"/>
              </w:rPr>
            </w:pPr>
            <w:r w:rsidRPr="001707D8">
              <w:rPr>
                <w:rFonts w:ascii="Cambria" w:hAnsi="Cambria"/>
                <w:b/>
                <w:bCs/>
                <w:color w:val="000000"/>
              </w:rPr>
              <w:t>Pareigybė</w:t>
            </w:r>
          </w:p>
        </w:tc>
        <w:tc>
          <w:tcPr>
            <w:tcW w:w="2410" w:type="dxa"/>
          </w:tcPr>
          <w:p w:rsidR="00AA7340" w:rsidRPr="001707D8" w:rsidRDefault="00AA7340" w:rsidP="00E11EE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707D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Darbo užmokestis </w:t>
            </w:r>
          </w:p>
          <w:p w:rsidR="00AA7340" w:rsidRPr="001707D8" w:rsidRDefault="00AA7340" w:rsidP="00E11EE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07D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bruto</w:t>
            </w:r>
            <w:proofErr w:type="spellEnd"/>
            <w:r w:rsidRPr="001707D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1 mėn. </w:t>
            </w:r>
          </w:p>
        </w:tc>
        <w:tc>
          <w:tcPr>
            <w:tcW w:w="2410" w:type="dxa"/>
          </w:tcPr>
          <w:p w:rsidR="00AA7340" w:rsidRPr="001707D8" w:rsidRDefault="00AA7340" w:rsidP="00E11EE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707D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Darbo užmokestis</w:t>
            </w:r>
          </w:p>
          <w:p w:rsidR="00AA7340" w:rsidRPr="001707D8" w:rsidRDefault="00AA7340" w:rsidP="00E11EE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707D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07D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neto</w:t>
            </w:r>
            <w:proofErr w:type="spellEnd"/>
            <w:r w:rsidRPr="001707D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1 mėn.</w:t>
            </w:r>
          </w:p>
        </w:tc>
      </w:tr>
      <w:tr w:rsidR="00AA7340" w:rsidRPr="001707D8" w:rsidTr="00E11EEB">
        <w:trPr>
          <w:tblCellSpacing w:w="0" w:type="dxa"/>
        </w:trPr>
        <w:tc>
          <w:tcPr>
            <w:tcW w:w="4688" w:type="dxa"/>
            <w:shd w:val="clear" w:color="auto" w:fill="FFFFFF"/>
          </w:tcPr>
          <w:p w:rsidR="00AA7340" w:rsidRPr="001707D8" w:rsidRDefault="00AA7340" w:rsidP="00E11EEB">
            <w:pPr>
              <w:jc w:val="center"/>
              <w:rPr>
                <w:rFonts w:ascii="Cambria" w:hAnsi="Cambria"/>
              </w:rPr>
            </w:pPr>
            <w:r w:rsidRPr="001707D8">
              <w:rPr>
                <w:rFonts w:ascii="Cambria" w:hAnsi="Cambria"/>
              </w:rPr>
              <w:t>VPS administravimo vadovas</w:t>
            </w:r>
          </w:p>
        </w:tc>
        <w:tc>
          <w:tcPr>
            <w:tcW w:w="2410" w:type="dxa"/>
            <w:shd w:val="clear" w:color="auto" w:fill="FFFFFF"/>
          </w:tcPr>
          <w:p w:rsidR="00AA7340" w:rsidRPr="001707D8" w:rsidRDefault="00E11EEB" w:rsidP="00E11E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1636,80</w:t>
            </w:r>
            <w:r w:rsidR="00AA7340" w:rsidRPr="001707D8">
              <w:rPr>
                <w:rFonts w:ascii="Cambria" w:hAnsi="Cambria"/>
              </w:rPr>
              <w:t xml:space="preserve"> (1 et.)</w:t>
            </w:r>
          </w:p>
        </w:tc>
        <w:tc>
          <w:tcPr>
            <w:tcW w:w="2410" w:type="dxa"/>
            <w:shd w:val="clear" w:color="auto" w:fill="FFFFFF"/>
          </w:tcPr>
          <w:p w:rsidR="00AA7340" w:rsidRPr="001707D8" w:rsidRDefault="00E11EEB" w:rsidP="00E11E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941,16</w:t>
            </w:r>
            <w:r w:rsidR="00AA7340" w:rsidRPr="001707D8">
              <w:rPr>
                <w:rFonts w:ascii="Cambria" w:hAnsi="Cambria"/>
              </w:rPr>
              <w:t xml:space="preserve"> (1 et.)</w:t>
            </w:r>
          </w:p>
        </w:tc>
      </w:tr>
      <w:tr w:rsidR="00AA7340" w:rsidRPr="001707D8" w:rsidTr="00E11EEB">
        <w:trPr>
          <w:tblCellSpacing w:w="0" w:type="dxa"/>
        </w:trPr>
        <w:tc>
          <w:tcPr>
            <w:tcW w:w="4688" w:type="dxa"/>
            <w:shd w:val="clear" w:color="auto" w:fill="FFFFFF"/>
          </w:tcPr>
          <w:p w:rsidR="00AA7340" w:rsidRPr="001707D8" w:rsidRDefault="00AA7340" w:rsidP="00E11EEB">
            <w:pPr>
              <w:jc w:val="center"/>
              <w:rPr>
                <w:rFonts w:ascii="Cambria" w:hAnsi="Cambria"/>
              </w:rPr>
            </w:pPr>
            <w:r w:rsidRPr="001707D8">
              <w:rPr>
                <w:rFonts w:ascii="Cambria" w:hAnsi="Cambria"/>
              </w:rPr>
              <w:t xml:space="preserve">VPS finansininkas </w:t>
            </w:r>
          </w:p>
        </w:tc>
        <w:tc>
          <w:tcPr>
            <w:tcW w:w="2410" w:type="dxa"/>
            <w:shd w:val="clear" w:color="auto" w:fill="FFFFFF"/>
          </w:tcPr>
          <w:p w:rsidR="00AA7340" w:rsidRPr="001707D8" w:rsidRDefault="00E11EEB" w:rsidP="00E11E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1504,80</w:t>
            </w:r>
            <w:r w:rsidR="00AA7340" w:rsidRPr="001707D8">
              <w:rPr>
                <w:rFonts w:ascii="Cambria" w:hAnsi="Cambria"/>
              </w:rPr>
              <w:t xml:space="preserve"> (1 et.)</w:t>
            </w:r>
          </w:p>
        </w:tc>
        <w:tc>
          <w:tcPr>
            <w:tcW w:w="2410" w:type="dxa"/>
            <w:shd w:val="clear" w:color="auto" w:fill="FFFFFF"/>
          </w:tcPr>
          <w:p w:rsidR="00AA7340" w:rsidRPr="001707D8" w:rsidRDefault="00E11EEB" w:rsidP="00E11E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865,26</w:t>
            </w:r>
            <w:r w:rsidR="00AA7340" w:rsidRPr="001707D8">
              <w:rPr>
                <w:rFonts w:ascii="Cambria" w:hAnsi="Cambria"/>
              </w:rPr>
              <w:t xml:space="preserve"> (1 et.)</w:t>
            </w:r>
          </w:p>
        </w:tc>
      </w:tr>
      <w:tr w:rsidR="00AA7340" w:rsidRPr="001707D8" w:rsidTr="00E11EEB">
        <w:trPr>
          <w:tblCellSpacing w:w="0" w:type="dxa"/>
        </w:trPr>
        <w:tc>
          <w:tcPr>
            <w:tcW w:w="4688" w:type="dxa"/>
          </w:tcPr>
          <w:p w:rsidR="00AA7340" w:rsidRPr="001707D8" w:rsidRDefault="00AA7340" w:rsidP="00E11EEB">
            <w:pPr>
              <w:jc w:val="center"/>
              <w:rPr>
                <w:rFonts w:ascii="Cambria" w:hAnsi="Cambria"/>
              </w:rPr>
            </w:pPr>
            <w:r w:rsidRPr="001707D8">
              <w:rPr>
                <w:rFonts w:ascii="Cambria" w:hAnsi="Cambria"/>
              </w:rPr>
              <w:t>VPS viešųjų ryšių specialistas</w:t>
            </w:r>
          </w:p>
        </w:tc>
        <w:tc>
          <w:tcPr>
            <w:tcW w:w="2410" w:type="dxa"/>
          </w:tcPr>
          <w:p w:rsidR="00AA7340" w:rsidRPr="001707D8" w:rsidRDefault="00E11EEB" w:rsidP="00E11E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1154,56</w:t>
            </w:r>
            <w:r w:rsidR="009D155B">
              <w:rPr>
                <w:rFonts w:ascii="Cambria" w:hAnsi="Cambria"/>
              </w:rPr>
              <w:t xml:space="preserve"> (1 </w:t>
            </w:r>
            <w:bookmarkStart w:id="0" w:name="_GoBack"/>
            <w:bookmarkEnd w:id="0"/>
            <w:r w:rsidR="00AA7340" w:rsidRPr="001707D8">
              <w:rPr>
                <w:rFonts w:ascii="Cambria" w:hAnsi="Cambria"/>
              </w:rPr>
              <w:t>et.)</w:t>
            </w:r>
          </w:p>
        </w:tc>
        <w:tc>
          <w:tcPr>
            <w:tcW w:w="2410" w:type="dxa"/>
          </w:tcPr>
          <w:p w:rsidR="00AA7340" w:rsidRPr="001707D8" w:rsidRDefault="00E11EEB" w:rsidP="00E11E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663,87</w:t>
            </w:r>
            <w:r w:rsidR="00ED655C">
              <w:rPr>
                <w:rFonts w:ascii="Cambria" w:hAnsi="Cambria"/>
              </w:rPr>
              <w:t xml:space="preserve"> (1</w:t>
            </w:r>
            <w:r w:rsidR="00AA7340" w:rsidRPr="001707D8">
              <w:rPr>
                <w:rFonts w:ascii="Cambria" w:hAnsi="Cambria"/>
              </w:rPr>
              <w:t xml:space="preserve"> et.)</w:t>
            </w:r>
          </w:p>
        </w:tc>
      </w:tr>
    </w:tbl>
    <w:p w:rsidR="00AA7340" w:rsidRDefault="00AA7340" w:rsidP="00704D58">
      <w:pPr>
        <w:pStyle w:val="a"/>
        <w:shd w:val="clear" w:color="auto" w:fill="FFFFFF"/>
        <w:spacing w:line="240" w:lineRule="auto"/>
        <w:rPr>
          <w:rFonts w:ascii="Calibri Light" w:hAnsi="Calibri Light"/>
          <w:color w:val="000000"/>
        </w:rPr>
      </w:pPr>
    </w:p>
    <w:p w:rsidR="00704D58" w:rsidRPr="00704D58" w:rsidRDefault="00704D58" w:rsidP="00704D58">
      <w:pPr>
        <w:pStyle w:val="a"/>
        <w:shd w:val="clear" w:color="auto" w:fill="FFFFFF"/>
        <w:spacing w:line="240" w:lineRule="auto"/>
        <w:rPr>
          <w:rFonts w:ascii="Calibri Light" w:hAnsi="Calibri Light"/>
          <w:color w:val="000000"/>
        </w:rPr>
      </w:pPr>
      <w:r w:rsidRPr="00704D58">
        <w:rPr>
          <w:rFonts w:ascii="Calibri Light" w:hAnsi="Calibri Light"/>
          <w:color w:val="000000"/>
        </w:rPr>
        <w:t>Informaciją parengė</w:t>
      </w:r>
    </w:p>
    <w:p w:rsidR="00704D58" w:rsidRPr="00704D58" w:rsidRDefault="00704D58" w:rsidP="00704D58">
      <w:pPr>
        <w:pStyle w:val="a"/>
        <w:shd w:val="clear" w:color="auto" w:fill="FFFFFF"/>
        <w:spacing w:line="240" w:lineRule="auto"/>
        <w:rPr>
          <w:rFonts w:ascii="Calibri Light" w:hAnsi="Calibri Light"/>
          <w:color w:val="000000"/>
        </w:rPr>
      </w:pPr>
      <w:r w:rsidRPr="00704D58">
        <w:rPr>
          <w:rFonts w:ascii="Calibri Light" w:hAnsi="Calibri Light"/>
          <w:color w:val="000000"/>
        </w:rPr>
        <w:t>Finansininkė</w:t>
      </w:r>
    </w:p>
    <w:p w:rsidR="00704D58" w:rsidRPr="00704D58" w:rsidRDefault="00704D58" w:rsidP="00704D58">
      <w:pPr>
        <w:pStyle w:val="a"/>
        <w:shd w:val="clear" w:color="auto" w:fill="FFFFFF"/>
        <w:spacing w:line="240" w:lineRule="auto"/>
        <w:rPr>
          <w:rFonts w:ascii="Calibri Light" w:hAnsi="Calibri Light"/>
          <w:color w:val="000000"/>
        </w:rPr>
      </w:pPr>
      <w:r w:rsidRPr="00704D58">
        <w:rPr>
          <w:rFonts w:ascii="Calibri Light" w:hAnsi="Calibri Light"/>
          <w:color w:val="000000"/>
        </w:rPr>
        <w:t>Evelina Kaselienė</w:t>
      </w:r>
    </w:p>
    <w:p w:rsidR="00704D58" w:rsidRDefault="00704D58"/>
    <w:sectPr w:rsidR="00704D58" w:rsidSect="005C1E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58"/>
    <w:rsid w:val="00011A0C"/>
    <w:rsid w:val="001F5778"/>
    <w:rsid w:val="002B5D82"/>
    <w:rsid w:val="005C1E33"/>
    <w:rsid w:val="00666DCF"/>
    <w:rsid w:val="00704D58"/>
    <w:rsid w:val="009D155B"/>
    <w:rsid w:val="00AA7340"/>
    <w:rsid w:val="00C66942"/>
    <w:rsid w:val="00E11EEB"/>
    <w:rsid w:val="00ED655C"/>
    <w:rsid w:val="00F1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F142-B7B8-4FF5-99C1-7673884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next w:val="prastasiniatinklio"/>
    <w:rsid w:val="00704D58"/>
    <w:pPr>
      <w:spacing w:before="120" w:after="120" w:line="300" w:lineRule="atLeast"/>
    </w:pPr>
  </w:style>
  <w:style w:type="paragraph" w:styleId="prastasiniatinklio">
    <w:name w:val="Normal (Web)"/>
    <w:basedOn w:val="prastasis"/>
    <w:uiPriority w:val="99"/>
    <w:semiHidden/>
    <w:unhideWhenUsed/>
    <w:rsid w:val="0070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Evelina Kaselienė</cp:lastModifiedBy>
  <cp:revision>10</cp:revision>
  <dcterms:created xsi:type="dcterms:W3CDTF">2017-06-21T07:07:00Z</dcterms:created>
  <dcterms:modified xsi:type="dcterms:W3CDTF">2020-01-09T07:54:00Z</dcterms:modified>
</cp:coreProperties>
</file>