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0E" w:rsidRDefault="00EE1C0E" w:rsidP="00B34A47">
      <w:pPr>
        <w:spacing w:after="0"/>
        <w:rPr>
          <w:b/>
          <w:sz w:val="28"/>
          <w:szCs w:val="28"/>
          <w:lang w:val="lt-LT"/>
        </w:rPr>
      </w:pPr>
    </w:p>
    <w:p w:rsidR="00A0024D" w:rsidRDefault="00A0024D" w:rsidP="0046634F">
      <w:pPr>
        <w:spacing w:after="0"/>
        <w:jc w:val="center"/>
        <w:rPr>
          <w:b/>
          <w:sz w:val="28"/>
          <w:szCs w:val="28"/>
          <w:lang w:val="lt-LT"/>
        </w:rPr>
      </w:pPr>
      <w:r>
        <w:rPr>
          <w:b/>
          <w:sz w:val="28"/>
          <w:szCs w:val="28"/>
          <w:lang w:val="lt-LT"/>
        </w:rPr>
        <w:t>Ukmergės</w:t>
      </w:r>
      <w:r w:rsidRPr="00D71E49">
        <w:rPr>
          <w:b/>
          <w:sz w:val="28"/>
          <w:szCs w:val="28"/>
          <w:lang w:val="lt-LT"/>
        </w:rPr>
        <w:t xml:space="preserve"> rajono kaimo gyventojų</w:t>
      </w:r>
      <w:r w:rsidR="004525C5">
        <w:rPr>
          <w:b/>
          <w:sz w:val="28"/>
          <w:szCs w:val="28"/>
          <w:lang w:val="lt-LT"/>
        </w:rPr>
        <w:t xml:space="preserve"> - ekspertų</w:t>
      </w:r>
      <w:r w:rsidRPr="00D71E49">
        <w:rPr>
          <w:b/>
          <w:sz w:val="28"/>
          <w:szCs w:val="28"/>
          <w:lang w:val="lt-LT"/>
        </w:rPr>
        <w:t xml:space="preserve"> anketinės apklausos rezultatų suvestinė</w:t>
      </w:r>
    </w:p>
    <w:p w:rsidR="00A0024D" w:rsidRPr="00D71E49" w:rsidRDefault="00A0024D" w:rsidP="0046634F">
      <w:pPr>
        <w:spacing w:after="0"/>
        <w:jc w:val="center"/>
        <w:rPr>
          <w:b/>
          <w:sz w:val="28"/>
          <w:szCs w:val="28"/>
          <w:lang w:val="lt-LT"/>
        </w:rPr>
      </w:pPr>
    </w:p>
    <w:p w:rsidR="00A0024D" w:rsidRDefault="00A0024D" w:rsidP="0046634F">
      <w:pPr>
        <w:spacing w:after="0"/>
        <w:ind w:firstLine="720"/>
        <w:jc w:val="both"/>
        <w:rPr>
          <w:lang w:val="lt-LT"/>
        </w:rPr>
      </w:pPr>
      <w:r w:rsidRPr="0064662D">
        <w:rPr>
          <w:lang w:val="lt-LT"/>
        </w:rPr>
        <w:t xml:space="preserve">Rengiant </w:t>
      </w:r>
      <w:r>
        <w:rPr>
          <w:lang w:val="lt-LT"/>
        </w:rPr>
        <w:t>Ukmergės</w:t>
      </w:r>
      <w:r w:rsidRPr="0064662D">
        <w:rPr>
          <w:lang w:val="lt-LT"/>
        </w:rPr>
        <w:t xml:space="preserve"> rajono savivaldybės</w:t>
      </w:r>
      <w:r>
        <w:rPr>
          <w:lang w:val="lt-LT"/>
        </w:rPr>
        <w:t xml:space="preserve"> vietos veiklos grupės</w:t>
      </w:r>
      <w:r w:rsidRPr="0064662D">
        <w:rPr>
          <w:lang w:val="lt-LT"/>
        </w:rPr>
        <w:t xml:space="preserve"> 2016-2023 metų vietos plėtros strategiją, kaip vienas iš tyrimo </w:t>
      </w:r>
      <w:r>
        <w:rPr>
          <w:lang w:val="lt-LT"/>
        </w:rPr>
        <w:t>metodu buvo pasirinkta kaimo gyventojų anketinė apklausa.</w:t>
      </w:r>
    </w:p>
    <w:p w:rsidR="00A0024D" w:rsidRDefault="00A0024D" w:rsidP="0046634F">
      <w:pPr>
        <w:spacing w:after="0"/>
        <w:ind w:firstLine="720"/>
        <w:jc w:val="both"/>
        <w:rPr>
          <w:lang w:val="lt-LT"/>
        </w:rPr>
      </w:pPr>
      <w:r w:rsidRPr="0064662D">
        <w:rPr>
          <w:lang w:val="lt-LT"/>
        </w:rPr>
        <w:t xml:space="preserve">Apklausoje dalyvavo </w:t>
      </w:r>
      <w:r>
        <w:rPr>
          <w:lang w:val="lt-LT"/>
        </w:rPr>
        <w:t>170</w:t>
      </w:r>
      <w:r w:rsidRPr="0064662D">
        <w:rPr>
          <w:lang w:val="lt-LT"/>
        </w:rPr>
        <w:t xml:space="preserve"> respondentas. Iš jų </w:t>
      </w:r>
      <w:r>
        <w:rPr>
          <w:lang w:val="lt-LT"/>
        </w:rPr>
        <w:t>40 (23,5 proc.) vyrų</w:t>
      </w:r>
      <w:r w:rsidRPr="0064662D">
        <w:rPr>
          <w:lang w:val="lt-LT"/>
        </w:rPr>
        <w:t xml:space="preserve"> ir 1</w:t>
      </w:r>
      <w:r>
        <w:rPr>
          <w:lang w:val="lt-LT"/>
        </w:rPr>
        <w:t>29 (75,9 proc.)</w:t>
      </w:r>
      <w:r w:rsidRPr="0064662D">
        <w:rPr>
          <w:lang w:val="lt-LT"/>
        </w:rPr>
        <w:t xml:space="preserve"> moter</w:t>
      </w:r>
      <w:r>
        <w:rPr>
          <w:lang w:val="lt-LT"/>
        </w:rPr>
        <w:t>ys</w:t>
      </w:r>
      <w:r w:rsidRPr="0064662D">
        <w:rPr>
          <w:lang w:val="lt-LT"/>
        </w:rPr>
        <w:t xml:space="preserve">, </w:t>
      </w:r>
      <w:r w:rsidR="0046634F">
        <w:rPr>
          <w:lang w:val="lt-LT"/>
        </w:rPr>
        <w:t>1</w:t>
      </w:r>
      <w:r w:rsidRPr="0064662D">
        <w:rPr>
          <w:lang w:val="lt-LT"/>
        </w:rPr>
        <w:t xml:space="preserve"> </w:t>
      </w:r>
      <w:r>
        <w:rPr>
          <w:lang w:val="lt-LT"/>
        </w:rPr>
        <w:t>(</w:t>
      </w:r>
      <w:r w:rsidR="0046634F">
        <w:rPr>
          <w:lang w:val="lt-LT"/>
        </w:rPr>
        <w:t>0,6</w:t>
      </w:r>
      <w:r>
        <w:rPr>
          <w:lang w:val="lt-LT"/>
        </w:rPr>
        <w:t xml:space="preserve"> proc.) </w:t>
      </w:r>
      <w:r w:rsidR="0046634F">
        <w:rPr>
          <w:lang w:val="lt-LT"/>
        </w:rPr>
        <w:t>respondentas</w:t>
      </w:r>
      <w:r w:rsidRPr="0064662D">
        <w:rPr>
          <w:lang w:val="lt-LT"/>
        </w:rPr>
        <w:t xml:space="preserve"> lyties nenurodė.</w:t>
      </w:r>
    </w:p>
    <w:p w:rsidR="00A0024D" w:rsidRDefault="00A0024D" w:rsidP="0046634F">
      <w:pPr>
        <w:spacing w:after="0"/>
        <w:rPr>
          <w:lang w:val="lt-LT"/>
        </w:rPr>
      </w:pPr>
    </w:p>
    <w:p w:rsidR="009601CD" w:rsidRDefault="009601CD" w:rsidP="0046634F">
      <w:pPr>
        <w:spacing w:after="0"/>
        <w:jc w:val="center"/>
        <w:rPr>
          <w:lang w:val="lt-LT"/>
        </w:rPr>
      </w:pPr>
      <w:r>
        <w:rPr>
          <w:noProof/>
          <w:lang w:val="lt-LT" w:eastAsia="lt-LT"/>
        </w:rPr>
        <w:drawing>
          <wp:inline distT="0" distB="0" distL="0" distR="0">
            <wp:extent cx="5257800" cy="2943225"/>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6634F" w:rsidRDefault="0046634F" w:rsidP="0046634F">
      <w:pPr>
        <w:spacing w:after="0"/>
        <w:jc w:val="both"/>
        <w:rPr>
          <w:lang w:val="lt-LT"/>
        </w:rPr>
      </w:pPr>
    </w:p>
    <w:p w:rsidR="009601CD" w:rsidRDefault="0046634F" w:rsidP="0046634F">
      <w:pPr>
        <w:spacing w:after="0"/>
        <w:ind w:firstLine="720"/>
        <w:jc w:val="both"/>
        <w:rPr>
          <w:lang w:val="lt-LT"/>
        </w:rPr>
      </w:pPr>
      <w:r>
        <w:rPr>
          <w:lang w:val="lt-LT"/>
        </w:rPr>
        <w:t>Vertinant respondentų pasiskirstymą pagal amžių matyti, jog pusė (50 proc.) apklaustųjų buvo 46-64 m. amžiaus, 28,8 proc. respondentų sudarė 30-45 m. amžiaus gyventojai, 65 m. ir vyresni – 12,4 proc., ir mažiausia dalis – 7,6 proc. – 18-29 m. amžiaus.</w:t>
      </w:r>
    </w:p>
    <w:p w:rsidR="009C4285" w:rsidRPr="0046634F" w:rsidRDefault="009C4285" w:rsidP="0046634F">
      <w:pPr>
        <w:spacing w:after="0"/>
        <w:ind w:firstLine="720"/>
        <w:jc w:val="both"/>
        <w:rPr>
          <w:lang w:val="lt-LT"/>
        </w:rPr>
      </w:pPr>
    </w:p>
    <w:p w:rsidR="00AD0F3C" w:rsidRDefault="00AD0F3C" w:rsidP="00AD0F3C">
      <w:pPr>
        <w:jc w:val="center"/>
        <w:rPr>
          <w:lang w:val="lt-LT"/>
        </w:rPr>
      </w:pPr>
      <w:r>
        <w:rPr>
          <w:noProof/>
          <w:lang w:val="lt-LT" w:eastAsia="lt-LT"/>
        </w:rPr>
        <w:lastRenderedPageBreak/>
        <w:drawing>
          <wp:inline distT="0" distB="0" distL="0" distR="0">
            <wp:extent cx="5067300" cy="29527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4285" w:rsidRDefault="009C4285" w:rsidP="009C4285">
      <w:pPr>
        <w:spacing w:after="0"/>
        <w:ind w:firstLine="720"/>
        <w:jc w:val="both"/>
        <w:rPr>
          <w:lang w:val="lt-LT"/>
        </w:rPr>
      </w:pPr>
      <w:r>
        <w:rPr>
          <w:lang w:val="lt-LT"/>
        </w:rPr>
        <w:t>Respondentų buvo paprašyta išskirti opiausią, jų akimis, rajono problemą. Kiekvienas respondentas galėjo pasirinkti nuo 1 iki 3 galimų variantų. Iš gautų rezultatų matyti, jog dauguma apklaustųjų mano, kad mažos gyventojų pajamos yra opiausia jų rajono problema. Daugiau nei trečdalis respondentų kaip opiausias rajono problemas nurodė gyventojų skaičiaus mažėjimą ir gyventojų senėjimą, bei nedarbą. 30,6 proc. apklaustųjų nuomone opiausia rajono problema – paslaugų trūkumas. Ketvirtadalis respondentų neaktyvius bendruomenės narius nurodo, kaip opiausią problemą.</w:t>
      </w:r>
    </w:p>
    <w:p w:rsidR="000D5C2B" w:rsidRDefault="000D5C2B" w:rsidP="009C4285">
      <w:pPr>
        <w:spacing w:after="0"/>
        <w:ind w:firstLine="720"/>
        <w:jc w:val="both"/>
        <w:rPr>
          <w:b/>
          <w:lang w:val="lt-LT"/>
        </w:rPr>
      </w:pPr>
    </w:p>
    <w:p w:rsidR="00F060CE" w:rsidRDefault="004B0D1D" w:rsidP="00BC2807">
      <w:pPr>
        <w:spacing w:after="0"/>
        <w:rPr>
          <w:lang w:val="lt-LT"/>
        </w:rPr>
      </w:pPr>
      <w:r>
        <w:rPr>
          <w:noProof/>
          <w:lang w:val="lt-LT" w:eastAsia="lt-LT"/>
        </w:rPr>
        <w:drawing>
          <wp:inline distT="0" distB="0" distL="0" distR="0">
            <wp:extent cx="6238875" cy="37052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2807" w:rsidRDefault="00BC2807" w:rsidP="00BC2807">
      <w:pPr>
        <w:tabs>
          <w:tab w:val="left" w:pos="3706"/>
        </w:tabs>
        <w:spacing w:after="0"/>
        <w:ind w:firstLine="720"/>
        <w:jc w:val="both"/>
        <w:rPr>
          <w:rFonts w:eastAsia="Calibri"/>
          <w:bCs w:val="0"/>
          <w:color w:val="000000"/>
          <w:lang w:val="lt-LT"/>
        </w:rPr>
      </w:pPr>
    </w:p>
    <w:p w:rsidR="004B0D1D" w:rsidRDefault="00BC2807" w:rsidP="00BC2807">
      <w:pPr>
        <w:tabs>
          <w:tab w:val="left" w:pos="3706"/>
        </w:tabs>
        <w:spacing w:after="0"/>
        <w:ind w:firstLine="720"/>
        <w:jc w:val="both"/>
        <w:rPr>
          <w:lang w:val="lt-LT"/>
        </w:rPr>
      </w:pPr>
      <w:r w:rsidRPr="00D71E49">
        <w:rPr>
          <w:rFonts w:eastAsia="Calibri"/>
          <w:bCs w:val="0"/>
          <w:color w:val="000000"/>
          <w:lang w:val="lt-LT"/>
        </w:rPr>
        <w:lastRenderedPageBreak/>
        <w:t>Lietuvos kaimo gyventojus įvairia forma pasiekia Europos Sąjungos parama</w:t>
      </w:r>
      <w:r>
        <w:rPr>
          <w:bCs w:val="0"/>
          <w:color w:val="000000"/>
          <w:lang w:val="lt-LT"/>
        </w:rPr>
        <w:t>. Respondentų buvo paklausta ar jie asmeniškai pajuto tokios paramos naudą sau ir savo gyvenamajai vietovei. Dauguma, net 65,9  proc., jų atsakė, kad „Taip“, ir 32,4 proc. – „Ne“.</w:t>
      </w:r>
    </w:p>
    <w:p w:rsidR="00BC2807" w:rsidRPr="00BC2807" w:rsidRDefault="00BC2807" w:rsidP="00BC2807">
      <w:pPr>
        <w:tabs>
          <w:tab w:val="left" w:pos="3706"/>
        </w:tabs>
        <w:spacing w:after="0"/>
        <w:ind w:firstLine="720"/>
        <w:jc w:val="both"/>
        <w:rPr>
          <w:lang w:val="lt-LT"/>
        </w:rPr>
      </w:pPr>
    </w:p>
    <w:p w:rsidR="007755D8" w:rsidRDefault="007755D8" w:rsidP="002154E5">
      <w:pPr>
        <w:tabs>
          <w:tab w:val="left" w:pos="3706"/>
        </w:tabs>
        <w:jc w:val="center"/>
        <w:rPr>
          <w:lang w:val="lt-LT"/>
        </w:rPr>
      </w:pPr>
      <w:r>
        <w:rPr>
          <w:noProof/>
          <w:lang w:val="lt-LT" w:eastAsia="lt-LT"/>
        </w:rPr>
        <w:drawing>
          <wp:inline distT="0" distB="0" distL="0" distR="0">
            <wp:extent cx="4924425" cy="24574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55D8" w:rsidRPr="00E11A67" w:rsidRDefault="00E11A67" w:rsidP="006A0452">
      <w:pPr>
        <w:pStyle w:val="prastasistinklapis"/>
        <w:spacing w:before="0" w:after="0" w:line="276" w:lineRule="auto"/>
        <w:ind w:firstLine="720"/>
        <w:jc w:val="both"/>
        <w:rPr>
          <w:color w:val="000000"/>
          <w:sz w:val="22"/>
          <w:szCs w:val="22"/>
          <w:lang w:val="lt-LT"/>
        </w:rPr>
      </w:pPr>
      <w:r w:rsidRPr="0004113F">
        <w:rPr>
          <w:bCs/>
          <w:color w:val="000000"/>
          <w:lang w:val="lt-LT"/>
        </w:rPr>
        <w:t>Europos Sąjungos parama Lietuvos kaimui bus teikiama ir laikotarpiu iki 2020 m. Atsižvelgiant į tai, respondentų buvo paprašyta išskirti paramos sritis, kurioms jie teiktų pirmenybę, kad ES lėšos, skirtos kaimo gyventojams, būtų kuo geriau panaudotos</w:t>
      </w:r>
      <w:r>
        <w:rPr>
          <w:bCs/>
          <w:color w:val="000000"/>
          <w:lang w:val="lt-LT"/>
        </w:rPr>
        <w:t xml:space="preserve">. Respondentai turėjo </w:t>
      </w:r>
      <w:r>
        <w:rPr>
          <w:color w:val="000000"/>
          <w:sz w:val="22"/>
          <w:szCs w:val="22"/>
          <w:lang w:val="lt-LT"/>
        </w:rPr>
        <w:t>įvertinti</w:t>
      </w:r>
      <w:r w:rsidRPr="00FC6BC5">
        <w:rPr>
          <w:color w:val="000000"/>
          <w:sz w:val="22"/>
          <w:szCs w:val="22"/>
          <w:lang w:val="lt-LT"/>
        </w:rPr>
        <w:t xml:space="preserve"> kiekvieno ES paramos prioriteto konkrečias sritis</w:t>
      </w:r>
      <w:r>
        <w:rPr>
          <w:color w:val="000000"/>
          <w:sz w:val="22"/>
          <w:szCs w:val="22"/>
          <w:lang w:val="lt-LT"/>
        </w:rPr>
        <w:t xml:space="preserve"> nuo </w:t>
      </w:r>
      <w:r w:rsidRPr="00A65B7C">
        <w:rPr>
          <w:color w:val="000000"/>
          <w:sz w:val="22"/>
          <w:szCs w:val="22"/>
          <w:lang w:val="lt-LT"/>
        </w:rPr>
        <w:t>1 – paramą teikti nesvarbu, iki 5 – paramą teikti labai svarbu.</w:t>
      </w:r>
      <w:r>
        <w:rPr>
          <w:color w:val="000000"/>
          <w:sz w:val="22"/>
          <w:szCs w:val="22"/>
          <w:lang w:val="lt-LT"/>
        </w:rPr>
        <w:t xml:space="preserve"> Net 75,3 proc. respondentų nurodė, kad svarbiausia – parama darbo vietų kūrimui.</w:t>
      </w:r>
      <w:r w:rsidR="00B40736">
        <w:rPr>
          <w:color w:val="000000"/>
          <w:sz w:val="22"/>
          <w:szCs w:val="22"/>
          <w:lang w:val="lt-LT"/>
        </w:rPr>
        <w:t xml:space="preserve"> Daugiau negu pusės, 60 proc., apklaustųjų nuomone svarbiausia – paslaugų gyventojams plėtra, o pusės (50 proc.) respondentų nuomone svarbiausia – paslaugų socialiai pažeidžiamoms grupėms plėtra.</w:t>
      </w:r>
      <w:r w:rsidR="006A0452">
        <w:rPr>
          <w:color w:val="000000"/>
          <w:sz w:val="22"/>
          <w:szCs w:val="22"/>
          <w:lang w:val="lt-LT"/>
        </w:rPr>
        <w:t xml:space="preserve"> </w:t>
      </w:r>
      <w:r>
        <w:rPr>
          <w:color w:val="000000"/>
          <w:sz w:val="22"/>
          <w:szCs w:val="22"/>
          <w:lang w:val="lt-LT"/>
        </w:rPr>
        <w:t>Svarbiausios respondentų išskirtos sritys, kurioms reikia teikti paramą, yra šios:</w:t>
      </w:r>
    </w:p>
    <w:tbl>
      <w:tblPr>
        <w:tblStyle w:val="TableGrid"/>
        <w:tblW w:w="0" w:type="auto"/>
        <w:tblLook w:val="04A0"/>
      </w:tblPr>
      <w:tblGrid>
        <w:gridCol w:w="4518"/>
        <w:gridCol w:w="1170"/>
        <w:gridCol w:w="990"/>
        <w:gridCol w:w="1440"/>
        <w:gridCol w:w="990"/>
        <w:gridCol w:w="1080"/>
      </w:tblGrid>
      <w:tr w:rsidR="00146F2E" w:rsidRPr="00DA3E74" w:rsidTr="00146F2E">
        <w:tc>
          <w:tcPr>
            <w:tcW w:w="4518" w:type="dxa"/>
          </w:tcPr>
          <w:p w:rsidR="002154E5" w:rsidRPr="00DA3E74" w:rsidRDefault="002154E5" w:rsidP="00146F2E">
            <w:pPr>
              <w:tabs>
                <w:tab w:val="left" w:pos="3706"/>
              </w:tabs>
              <w:jc w:val="center"/>
              <w:rPr>
                <w:color w:val="FF0000"/>
                <w:sz w:val="22"/>
                <w:szCs w:val="22"/>
                <w:lang w:val="lt-LT"/>
              </w:rPr>
            </w:pPr>
          </w:p>
        </w:tc>
        <w:tc>
          <w:tcPr>
            <w:tcW w:w="1170" w:type="dxa"/>
          </w:tcPr>
          <w:p w:rsidR="002154E5" w:rsidRPr="00DA3E74" w:rsidRDefault="002154E5" w:rsidP="00146F2E">
            <w:pPr>
              <w:tabs>
                <w:tab w:val="left" w:pos="3706"/>
              </w:tabs>
              <w:jc w:val="center"/>
              <w:rPr>
                <w:sz w:val="22"/>
                <w:szCs w:val="22"/>
                <w:lang w:val="lt-LT"/>
              </w:rPr>
            </w:pPr>
            <w:r w:rsidRPr="00DA3E74">
              <w:rPr>
                <w:sz w:val="22"/>
                <w:szCs w:val="22"/>
                <w:lang w:val="lt-LT"/>
              </w:rPr>
              <w:t>Nesvarbu</w:t>
            </w:r>
          </w:p>
        </w:tc>
        <w:tc>
          <w:tcPr>
            <w:tcW w:w="990" w:type="dxa"/>
          </w:tcPr>
          <w:p w:rsidR="002154E5" w:rsidRPr="00DA3E74" w:rsidRDefault="002154E5" w:rsidP="00146F2E">
            <w:pPr>
              <w:tabs>
                <w:tab w:val="left" w:pos="3706"/>
              </w:tabs>
              <w:jc w:val="center"/>
              <w:rPr>
                <w:sz w:val="22"/>
                <w:szCs w:val="22"/>
                <w:lang w:val="lt-LT"/>
              </w:rPr>
            </w:pPr>
            <w:r w:rsidRPr="00DA3E74">
              <w:rPr>
                <w:sz w:val="22"/>
                <w:szCs w:val="22"/>
                <w:lang w:val="lt-LT"/>
              </w:rPr>
              <w:t>Nelabai svarbu</w:t>
            </w:r>
          </w:p>
        </w:tc>
        <w:tc>
          <w:tcPr>
            <w:tcW w:w="1440" w:type="dxa"/>
          </w:tcPr>
          <w:p w:rsidR="002154E5" w:rsidRPr="00DA3E74" w:rsidRDefault="002154E5" w:rsidP="00146F2E">
            <w:pPr>
              <w:tabs>
                <w:tab w:val="left" w:pos="3706"/>
              </w:tabs>
              <w:jc w:val="center"/>
              <w:rPr>
                <w:sz w:val="22"/>
                <w:szCs w:val="22"/>
                <w:lang w:val="lt-LT"/>
              </w:rPr>
            </w:pPr>
            <w:r w:rsidRPr="00DA3E74">
              <w:rPr>
                <w:sz w:val="22"/>
                <w:szCs w:val="22"/>
                <w:lang w:val="lt-LT"/>
              </w:rPr>
              <w:t>Nei svarbu nei nesvarbu</w:t>
            </w:r>
          </w:p>
        </w:tc>
        <w:tc>
          <w:tcPr>
            <w:tcW w:w="990" w:type="dxa"/>
          </w:tcPr>
          <w:p w:rsidR="002154E5" w:rsidRPr="00DA3E74" w:rsidRDefault="002154E5" w:rsidP="00146F2E">
            <w:pPr>
              <w:tabs>
                <w:tab w:val="left" w:pos="3706"/>
              </w:tabs>
              <w:jc w:val="center"/>
              <w:rPr>
                <w:sz w:val="22"/>
                <w:szCs w:val="22"/>
                <w:lang w:val="lt-LT"/>
              </w:rPr>
            </w:pPr>
            <w:r w:rsidRPr="00DA3E74">
              <w:rPr>
                <w:sz w:val="22"/>
                <w:szCs w:val="22"/>
                <w:lang w:val="lt-LT"/>
              </w:rPr>
              <w:t>Svarbu</w:t>
            </w:r>
          </w:p>
        </w:tc>
        <w:tc>
          <w:tcPr>
            <w:tcW w:w="1080" w:type="dxa"/>
          </w:tcPr>
          <w:p w:rsidR="002154E5" w:rsidRPr="00DA3E74" w:rsidRDefault="002154E5" w:rsidP="00146F2E">
            <w:pPr>
              <w:tabs>
                <w:tab w:val="left" w:pos="3706"/>
              </w:tabs>
              <w:jc w:val="center"/>
              <w:rPr>
                <w:sz w:val="22"/>
                <w:szCs w:val="22"/>
                <w:lang w:val="lt-LT"/>
              </w:rPr>
            </w:pPr>
            <w:r w:rsidRPr="00DA3E74">
              <w:rPr>
                <w:sz w:val="22"/>
                <w:szCs w:val="22"/>
                <w:lang w:val="lt-LT"/>
              </w:rPr>
              <w:t>Labai svarbu</w:t>
            </w:r>
          </w:p>
        </w:tc>
      </w:tr>
      <w:tr w:rsidR="004E0E6B" w:rsidRPr="00DA3E74" w:rsidTr="00880DFD">
        <w:tc>
          <w:tcPr>
            <w:tcW w:w="4518" w:type="dxa"/>
            <w:vAlign w:val="center"/>
          </w:tcPr>
          <w:p w:rsidR="004E0E6B" w:rsidRPr="00E11A67" w:rsidRDefault="004E0E6B" w:rsidP="00064EFC">
            <w:pPr>
              <w:spacing w:line="206" w:lineRule="atLeast"/>
              <w:rPr>
                <w:rFonts w:eastAsia="Calibri"/>
                <w:b/>
                <w:sz w:val="22"/>
                <w:szCs w:val="22"/>
                <w:lang w:val="lt-LT"/>
              </w:rPr>
            </w:pPr>
            <w:r w:rsidRPr="00E11A67">
              <w:rPr>
                <w:rFonts w:eastAsia="Calibri"/>
                <w:b/>
                <w:sz w:val="22"/>
                <w:szCs w:val="22"/>
                <w:lang w:val="lt-LT" w:eastAsia="lt-LT"/>
              </w:rPr>
              <w:t>Parama darbo vietų kūrimui</w:t>
            </w:r>
          </w:p>
        </w:tc>
        <w:tc>
          <w:tcPr>
            <w:tcW w:w="1170" w:type="dxa"/>
          </w:tcPr>
          <w:p w:rsidR="004E0E6B" w:rsidRPr="0008498A" w:rsidRDefault="0014391C" w:rsidP="00064EFC">
            <w:pPr>
              <w:tabs>
                <w:tab w:val="left" w:pos="3706"/>
              </w:tabs>
              <w:jc w:val="center"/>
              <w:rPr>
                <w:sz w:val="22"/>
                <w:szCs w:val="22"/>
                <w:lang w:val="lt-LT"/>
              </w:rPr>
            </w:pPr>
            <w:r>
              <w:rPr>
                <w:sz w:val="22"/>
                <w:szCs w:val="22"/>
                <w:lang w:val="lt-LT"/>
              </w:rPr>
              <w:t>5,6</w:t>
            </w:r>
          </w:p>
        </w:tc>
        <w:tc>
          <w:tcPr>
            <w:tcW w:w="990" w:type="dxa"/>
          </w:tcPr>
          <w:p w:rsidR="004E0E6B" w:rsidRPr="0008498A" w:rsidRDefault="0014391C" w:rsidP="00064EFC">
            <w:pPr>
              <w:tabs>
                <w:tab w:val="left" w:pos="3706"/>
              </w:tabs>
              <w:jc w:val="center"/>
              <w:rPr>
                <w:sz w:val="22"/>
                <w:szCs w:val="22"/>
                <w:lang w:val="lt-LT"/>
              </w:rPr>
            </w:pPr>
            <w:r>
              <w:rPr>
                <w:sz w:val="22"/>
                <w:szCs w:val="22"/>
                <w:lang w:val="lt-LT"/>
              </w:rPr>
              <w:t>0,6</w:t>
            </w:r>
          </w:p>
        </w:tc>
        <w:tc>
          <w:tcPr>
            <w:tcW w:w="1440" w:type="dxa"/>
          </w:tcPr>
          <w:p w:rsidR="004E0E6B" w:rsidRPr="0008498A" w:rsidRDefault="0014391C" w:rsidP="0008498A">
            <w:pPr>
              <w:tabs>
                <w:tab w:val="left" w:pos="3706"/>
              </w:tabs>
              <w:jc w:val="center"/>
              <w:rPr>
                <w:sz w:val="22"/>
                <w:szCs w:val="22"/>
                <w:lang w:val="lt-LT"/>
              </w:rPr>
            </w:pPr>
            <w:r>
              <w:rPr>
                <w:sz w:val="22"/>
                <w:szCs w:val="22"/>
                <w:lang w:val="lt-LT"/>
              </w:rPr>
              <w:t>4,7</w:t>
            </w:r>
          </w:p>
        </w:tc>
        <w:tc>
          <w:tcPr>
            <w:tcW w:w="990" w:type="dxa"/>
          </w:tcPr>
          <w:p w:rsidR="004E0E6B" w:rsidRPr="0008498A" w:rsidRDefault="0014391C" w:rsidP="00064EFC">
            <w:pPr>
              <w:tabs>
                <w:tab w:val="left" w:pos="3706"/>
              </w:tabs>
              <w:jc w:val="center"/>
              <w:rPr>
                <w:sz w:val="22"/>
                <w:szCs w:val="22"/>
                <w:lang w:val="lt-LT"/>
              </w:rPr>
            </w:pPr>
            <w:r>
              <w:rPr>
                <w:sz w:val="22"/>
                <w:szCs w:val="22"/>
                <w:lang w:val="lt-LT"/>
              </w:rPr>
              <w:t>14,1</w:t>
            </w:r>
          </w:p>
        </w:tc>
        <w:tc>
          <w:tcPr>
            <w:tcW w:w="1080" w:type="dxa"/>
          </w:tcPr>
          <w:p w:rsidR="004E0E6B" w:rsidRPr="0008498A" w:rsidRDefault="0014391C" w:rsidP="00064EFC">
            <w:pPr>
              <w:tabs>
                <w:tab w:val="left" w:pos="3706"/>
              </w:tabs>
              <w:jc w:val="center"/>
              <w:rPr>
                <w:b/>
                <w:sz w:val="22"/>
                <w:szCs w:val="22"/>
                <w:lang w:val="lt-LT"/>
              </w:rPr>
            </w:pPr>
            <w:r>
              <w:rPr>
                <w:b/>
                <w:sz w:val="22"/>
                <w:szCs w:val="22"/>
                <w:lang w:val="lt-LT"/>
              </w:rPr>
              <w:t>75,3</w:t>
            </w:r>
          </w:p>
        </w:tc>
      </w:tr>
      <w:tr w:rsidR="000F0B18" w:rsidRPr="00DA3E74" w:rsidTr="00146F2E">
        <w:tc>
          <w:tcPr>
            <w:tcW w:w="4518" w:type="dxa"/>
          </w:tcPr>
          <w:p w:rsidR="000F0B18" w:rsidRPr="00E11A67" w:rsidRDefault="000F0B18" w:rsidP="00064EFC">
            <w:pPr>
              <w:tabs>
                <w:tab w:val="left" w:pos="3706"/>
              </w:tabs>
              <w:jc w:val="both"/>
              <w:rPr>
                <w:b/>
                <w:sz w:val="22"/>
                <w:szCs w:val="22"/>
                <w:lang w:val="lt-LT"/>
              </w:rPr>
            </w:pPr>
            <w:r w:rsidRPr="00E11A67">
              <w:rPr>
                <w:rFonts w:eastAsia="Calibri"/>
                <w:b/>
                <w:sz w:val="22"/>
                <w:szCs w:val="22"/>
                <w:lang w:val="lt-LT" w:eastAsia="lt-LT"/>
              </w:rPr>
              <w:t>Paslaugų gyventojams (švietimo, kultūros, sporto, aplinkos tvarkymo ir pan.) plėtra</w:t>
            </w:r>
          </w:p>
        </w:tc>
        <w:tc>
          <w:tcPr>
            <w:tcW w:w="1170" w:type="dxa"/>
          </w:tcPr>
          <w:p w:rsidR="000F0B18" w:rsidRPr="0008498A" w:rsidRDefault="002307E0" w:rsidP="00EC74F5">
            <w:pPr>
              <w:tabs>
                <w:tab w:val="left" w:pos="3706"/>
              </w:tabs>
              <w:jc w:val="center"/>
              <w:rPr>
                <w:sz w:val="22"/>
                <w:szCs w:val="22"/>
                <w:lang w:val="lt-LT"/>
              </w:rPr>
            </w:pPr>
            <w:r>
              <w:rPr>
                <w:sz w:val="22"/>
                <w:szCs w:val="22"/>
                <w:lang w:val="lt-LT"/>
              </w:rPr>
              <w:t>5,3</w:t>
            </w:r>
          </w:p>
        </w:tc>
        <w:tc>
          <w:tcPr>
            <w:tcW w:w="990" w:type="dxa"/>
          </w:tcPr>
          <w:p w:rsidR="000F0B18" w:rsidRPr="0008498A" w:rsidRDefault="002307E0" w:rsidP="00EC74F5">
            <w:pPr>
              <w:tabs>
                <w:tab w:val="left" w:pos="3706"/>
              </w:tabs>
              <w:jc w:val="center"/>
              <w:rPr>
                <w:sz w:val="22"/>
                <w:szCs w:val="22"/>
                <w:lang w:val="lt-LT"/>
              </w:rPr>
            </w:pPr>
            <w:r>
              <w:rPr>
                <w:sz w:val="22"/>
                <w:szCs w:val="22"/>
                <w:lang w:val="lt-LT"/>
              </w:rPr>
              <w:t>2,4</w:t>
            </w:r>
          </w:p>
        </w:tc>
        <w:tc>
          <w:tcPr>
            <w:tcW w:w="1440" w:type="dxa"/>
          </w:tcPr>
          <w:p w:rsidR="000F0B18" w:rsidRPr="0008498A" w:rsidRDefault="002307E0" w:rsidP="00EC74F5">
            <w:pPr>
              <w:tabs>
                <w:tab w:val="left" w:pos="3706"/>
              </w:tabs>
              <w:jc w:val="center"/>
              <w:rPr>
                <w:sz w:val="22"/>
                <w:szCs w:val="22"/>
                <w:lang w:val="lt-LT"/>
              </w:rPr>
            </w:pPr>
            <w:r>
              <w:rPr>
                <w:sz w:val="22"/>
                <w:szCs w:val="22"/>
                <w:lang w:val="lt-LT"/>
              </w:rPr>
              <w:t>12,9</w:t>
            </w:r>
          </w:p>
        </w:tc>
        <w:tc>
          <w:tcPr>
            <w:tcW w:w="990" w:type="dxa"/>
          </w:tcPr>
          <w:p w:rsidR="000F0B18" w:rsidRPr="0008498A" w:rsidRDefault="002307E0" w:rsidP="00EC74F5">
            <w:pPr>
              <w:tabs>
                <w:tab w:val="left" w:pos="3706"/>
              </w:tabs>
              <w:jc w:val="center"/>
              <w:rPr>
                <w:sz w:val="22"/>
                <w:szCs w:val="22"/>
                <w:lang w:val="lt-LT"/>
              </w:rPr>
            </w:pPr>
            <w:r>
              <w:rPr>
                <w:sz w:val="22"/>
                <w:szCs w:val="22"/>
                <w:lang w:val="lt-LT"/>
              </w:rPr>
              <w:t>19,4</w:t>
            </w:r>
          </w:p>
        </w:tc>
        <w:tc>
          <w:tcPr>
            <w:tcW w:w="1080" w:type="dxa"/>
          </w:tcPr>
          <w:p w:rsidR="000F0B18" w:rsidRPr="0008498A" w:rsidRDefault="002307E0" w:rsidP="00EC74F5">
            <w:pPr>
              <w:tabs>
                <w:tab w:val="left" w:pos="3706"/>
              </w:tabs>
              <w:jc w:val="center"/>
              <w:rPr>
                <w:b/>
                <w:sz w:val="22"/>
                <w:szCs w:val="22"/>
                <w:lang w:val="lt-LT"/>
              </w:rPr>
            </w:pPr>
            <w:r>
              <w:rPr>
                <w:b/>
                <w:sz w:val="22"/>
                <w:szCs w:val="22"/>
                <w:lang w:val="lt-LT"/>
              </w:rPr>
              <w:t>60,0</w:t>
            </w:r>
          </w:p>
        </w:tc>
      </w:tr>
      <w:tr w:rsidR="00222257" w:rsidRPr="00DA3E74" w:rsidTr="00146F2E">
        <w:tc>
          <w:tcPr>
            <w:tcW w:w="4518" w:type="dxa"/>
          </w:tcPr>
          <w:p w:rsidR="00222257" w:rsidRPr="00E11A67" w:rsidRDefault="00222257" w:rsidP="001E10F0">
            <w:pPr>
              <w:tabs>
                <w:tab w:val="left" w:pos="3706"/>
              </w:tabs>
              <w:jc w:val="both"/>
              <w:rPr>
                <w:b/>
                <w:sz w:val="22"/>
                <w:szCs w:val="22"/>
                <w:lang w:val="lt-LT"/>
              </w:rPr>
            </w:pPr>
            <w:r w:rsidRPr="00E11A67">
              <w:rPr>
                <w:rFonts w:eastAsia="Calibri"/>
                <w:b/>
                <w:sz w:val="22"/>
                <w:szCs w:val="22"/>
                <w:lang w:val="lt-LT" w:eastAsia="lt-LT"/>
              </w:rPr>
              <w:t>Paslaugų socialiai pažeidžiamoms grupėms (bedarbiams, vaikams, vyresnio amžiaus žmonėms, neįgaliesiems ir pan.) plėtra</w:t>
            </w:r>
          </w:p>
        </w:tc>
        <w:tc>
          <w:tcPr>
            <w:tcW w:w="1170" w:type="dxa"/>
          </w:tcPr>
          <w:p w:rsidR="00222257" w:rsidRPr="00DA3E74" w:rsidRDefault="002307E0" w:rsidP="001E10F0">
            <w:pPr>
              <w:tabs>
                <w:tab w:val="left" w:pos="3706"/>
              </w:tabs>
              <w:jc w:val="center"/>
              <w:rPr>
                <w:sz w:val="22"/>
                <w:szCs w:val="22"/>
                <w:lang w:val="lt-LT"/>
              </w:rPr>
            </w:pPr>
            <w:r>
              <w:rPr>
                <w:sz w:val="22"/>
                <w:szCs w:val="22"/>
                <w:lang w:val="lt-LT"/>
              </w:rPr>
              <w:t>8,2</w:t>
            </w:r>
          </w:p>
        </w:tc>
        <w:tc>
          <w:tcPr>
            <w:tcW w:w="990" w:type="dxa"/>
          </w:tcPr>
          <w:p w:rsidR="00222257" w:rsidRPr="00DA3E74" w:rsidRDefault="002307E0" w:rsidP="001E10F0">
            <w:pPr>
              <w:tabs>
                <w:tab w:val="left" w:pos="3706"/>
              </w:tabs>
              <w:jc w:val="center"/>
              <w:rPr>
                <w:sz w:val="22"/>
                <w:szCs w:val="22"/>
                <w:lang w:val="lt-LT"/>
              </w:rPr>
            </w:pPr>
            <w:r>
              <w:rPr>
                <w:sz w:val="22"/>
                <w:szCs w:val="22"/>
                <w:lang w:val="lt-LT"/>
              </w:rPr>
              <w:t>4,7</w:t>
            </w:r>
          </w:p>
        </w:tc>
        <w:tc>
          <w:tcPr>
            <w:tcW w:w="1440" w:type="dxa"/>
          </w:tcPr>
          <w:p w:rsidR="00222257" w:rsidRPr="00DA3E74" w:rsidRDefault="002307E0" w:rsidP="001E10F0">
            <w:pPr>
              <w:tabs>
                <w:tab w:val="left" w:pos="3706"/>
              </w:tabs>
              <w:jc w:val="center"/>
              <w:rPr>
                <w:sz w:val="22"/>
                <w:szCs w:val="22"/>
                <w:lang w:val="lt-LT"/>
              </w:rPr>
            </w:pPr>
            <w:r>
              <w:rPr>
                <w:sz w:val="22"/>
                <w:szCs w:val="22"/>
                <w:lang w:val="lt-LT"/>
              </w:rPr>
              <w:t>12,9</w:t>
            </w:r>
          </w:p>
        </w:tc>
        <w:tc>
          <w:tcPr>
            <w:tcW w:w="990" w:type="dxa"/>
          </w:tcPr>
          <w:p w:rsidR="00222257" w:rsidRPr="00DA3E74" w:rsidRDefault="002307E0" w:rsidP="001E10F0">
            <w:pPr>
              <w:tabs>
                <w:tab w:val="left" w:pos="3706"/>
              </w:tabs>
              <w:jc w:val="center"/>
              <w:rPr>
                <w:sz w:val="22"/>
                <w:szCs w:val="22"/>
                <w:lang w:val="lt-LT"/>
              </w:rPr>
            </w:pPr>
            <w:r>
              <w:rPr>
                <w:sz w:val="22"/>
                <w:szCs w:val="22"/>
                <w:lang w:val="lt-LT"/>
              </w:rPr>
              <w:t>24,1</w:t>
            </w:r>
          </w:p>
        </w:tc>
        <w:tc>
          <w:tcPr>
            <w:tcW w:w="1080" w:type="dxa"/>
          </w:tcPr>
          <w:p w:rsidR="00222257" w:rsidRPr="00DA3E74" w:rsidRDefault="002307E0" w:rsidP="001E10F0">
            <w:pPr>
              <w:tabs>
                <w:tab w:val="left" w:pos="3706"/>
              </w:tabs>
              <w:jc w:val="center"/>
              <w:rPr>
                <w:b/>
                <w:sz w:val="22"/>
                <w:szCs w:val="22"/>
                <w:lang w:val="lt-LT"/>
              </w:rPr>
            </w:pPr>
            <w:r>
              <w:rPr>
                <w:b/>
                <w:sz w:val="22"/>
                <w:szCs w:val="22"/>
                <w:lang w:val="lt-LT"/>
              </w:rPr>
              <w:t>50,0</w:t>
            </w:r>
          </w:p>
        </w:tc>
      </w:tr>
      <w:tr w:rsidR="005A6D32" w:rsidRPr="00DA3E74" w:rsidTr="00950D77">
        <w:tc>
          <w:tcPr>
            <w:tcW w:w="4518" w:type="dxa"/>
            <w:vAlign w:val="center"/>
          </w:tcPr>
          <w:p w:rsidR="005A6D32" w:rsidRPr="00E11A67" w:rsidRDefault="005A6D32" w:rsidP="004B1605">
            <w:pPr>
              <w:spacing w:line="206" w:lineRule="atLeast"/>
              <w:jc w:val="both"/>
              <w:rPr>
                <w:rFonts w:eastAsia="Calibri"/>
                <w:b/>
                <w:sz w:val="22"/>
                <w:szCs w:val="22"/>
                <w:lang w:val="lt-LT"/>
              </w:rPr>
            </w:pPr>
            <w:r w:rsidRPr="00E11A67">
              <w:rPr>
                <w:rFonts w:eastAsia="Calibri"/>
                <w:b/>
                <w:sz w:val="22"/>
                <w:szCs w:val="22"/>
                <w:lang w:val="lt-LT" w:eastAsia="lt-LT"/>
              </w:rPr>
              <w:t>Sveikatinimo priemonių aktyvinimo kryptis(dviračiai, aktyvus sportas, sveika mityba)</w:t>
            </w:r>
          </w:p>
        </w:tc>
        <w:tc>
          <w:tcPr>
            <w:tcW w:w="1170" w:type="dxa"/>
          </w:tcPr>
          <w:p w:rsidR="005A6D32" w:rsidRPr="00A91229" w:rsidRDefault="00D5181D" w:rsidP="00F27CEB">
            <w:pPr>
              <w:tabs>
                <w:tab w:val="left" w:pos="3706"/>
              </w:tabs>
              <w:jc w:val="center"/>
              <w:rPr>
                <w:sz w:val="22"/>
                <w:szCs w:val="22"/>
                <w:lang w:val="lt-LT"/>
              </w:rPr>
            </w:pPr>
            <w:r>
              <w:rPr>
                <w:sz w:val="22"/>
                <w:szCs w:val="22"/>
                <w:lang w:val="lt-LT"/>
              </w:rPr>
              <w:t>12,4</w:t>
            </w:r>
          </w:p>
        </w:tc>
        <w:tc>
          <w:tcPr>
            <w:tcW w:w="990" w:type="dxa"/>
          </w:tcPr>
          <w:p w:rsidR="005A6D32" w:rsidRPr="00A91229" w:rsidRDefault="00D5181D" w:rsidP="00F27CEB">
            <w:pPr>
              <w:tabs>
                <w:tab w:val="left" w:pos="3706"/>
              </w:tabs>
              <w:jc w:val="center"/>
              <w:rPr>
                <w:sz w:val="22"/>
                <w:szCs w:val="22"/>
                <w:lang w:val="lt-LT"/>
              </w:rPr>
            </w:pPr>
            <w:r>
              <w:rPr>
                <w:sz w:val="22"/>
                <w:szCs w:val="22"/>
                <w:lang w:val="lt-LT"/>
              </w:rPr>
              <w:t>4,7</w:t>
            </w:r>
          </w:p>
        </w:tc>
        <w:tc>
          <w:tcPr>
            <w:tcW w:w="1440" w:type="dxa"/>
          </w:tcPr>
          <w:p w:rsidR="005A6D32" w:rsidRPr="00A91229" w:rsidRDefault="00D5181D" w:rsidP="00F27CEB">
            <w:pPr>
              <w:tabs>
                <w:tab w:val="left" w:pos="3706"/>
              </w:tabs>
              <w:jc w:val="center"/>
              <w:rPr>
                <w:sz w:val="22"/>
                <w:szCs w:val="22"/>
                <w:lang w:val="lt-LT"/>
              </w:rPr>
            </w:pPr>
            <w:r>
              <w:rPr>
                <w:sz w:val="22"/>
                <w:szCs w:val="22"/>
                <w:lang w:val="lt-LT"/>
              </w:rPr>
              <w:t>12,4</w:t>
            </w:r>
          </w:p>
        </w:tc>
        <w:tc>
          <w:tcPr>
            <w:tcW w:w="990" w:type="dxa"/>
          </w:tcPr>
          <w:p w:rsidR="005A6D32" w:rsidRPr="00A91229" w:rsidRDefault="00D5181D" w:rsidP="00F27CEB">
            <w:pPr>
              <w:tabs>
                <w:tab w:val="left" w:pos="3706"/>
              </w:tabs>
              <w:jc w:val="center"/>
              <w:rPr>
                <w:sz w:val="22"/>
                <w:szCs w:val="22"/>
                <w:lang w:val="lt-LT"/>
              </w:rPr>
            </w:pPr>
            <w:r>
              <w:rPr>
                <w:sz w:val="22"/>
                <w:szCs w:val="22"/>
                <w:lang w:val="lt-LT"/>
              </w:rPr>
              <w:t>23,5</w:t>
            </w:r>
          </w:p>
        </w:tc>
        <w:tc>
          <w:tcPr>
            <w:tcW w:w="1080" w:type="dxa"/>
          </w:tcPr>
          <w:p w:rsidR="005A6D32" w:rsidRPr="00A91229" w:rsidRDefault="00D5181D" w:rsidP="00F27CEB">
            <w:pPr>
              <w:tabs>
                <w:tab w:val="left" w:pos="3706"/>
              </w:tabs>
              <w:jc w:val="center"/>
              <w:rPr>
                <w:b/>
                <w:sz w:val="22"/>
                <w:szCs w:val="22"/>
                <w:lang w:val="lt-LT"/>
              </w:rPr>
            </w:pPr>
            <w:r>
              <w:rPr>
                <w:b/>
                <w:sz w:val="22"/>
                <w:szCs w:val="22"/>
                <w:lang w:val="lt-LT"/>
              </w:rPr>
              <w:t>47,1</w:t>
            </w:r>
          </w:p>
        </w:tc>
      </w:tr>
      <w:tr w:rsidR="00DD2EBE" w:rsidRPr="00DA3E74" w:rsidTr="00C31745">
        <w:tc>
          <w:tcPr>
            <w:tcW w:w="4518" w:type="dxa"/>
          </w:tcPr>
          <w:p w:rsidR="00DD2EBE" w:rsidRPr="00E11A67" w:rsidRDefault="00DD2EBE" w:rsidP="004B1605">
            <w:pPr>
              <w:tabs>
                <w:tab w:val="left" w:pos="3706"/>
              </w:tabs>
              <w:jc w:val="both"/>
              <w:rPr>
                <w:b/>
                <w:sz w:val="22"/>
                <w:szCs w:val="22"/>
                <w:lang w:val="lt-LT"/>
              </w:rPr>
            </w:pPr>
            <w:r w:rsidRPr="00E11A67">
              <w:rPr>
                <w:rFonts w:eastAsia="Calibri"/>
                <w:b/>
                <w:sz w:val="22"/>
                <w:szCs w:val="22"/>
                <w:lang w:val="lt-LT" w:eastAsia="lt-LT"/>
              </w:rPr>
              <w:t>Viešosios infrastruktūros (viešieji pastatai, viešosios erdvės, transporto infrastruktūra, vandentvarka ir pan.) plėtra</w:t>
            </w:r>
          </w:p>
        </w:tc>
        <w:tc>
          <w:tcPr>
            <w:tcW w:w="1170" w:type="dxa"/>
          </w:tcPr>
          <w:p w:rsidR="00DD2EBE" w:rsidRPr="00DA3E74" w:rsidRDefault="002307E0" w:rsidP="00EC74F5">
            <w:pPr>
              <w:tabs>
                <w:tab w:val="left" w:pos="3706"/>
              </w:tabs>
              <w:jc w:val="center"/>
              <w:rPr>
                <w:sz w:val="22"/>
                <w:szCs w:val="22"/>
                <w:lang w:val="lt-LT"/>
              </w:rPr>
            </w:pPr>
            <w:r>
              <w:rPr>
                <w:sz w:val="22"/>
                <w:szCs w:val="22"/>
                <w:lang w:val="lt-LT"/>
              </w:rPr>
              <w:t>7,6</w:t>
            </w:r>
          </w:p>
        </w:tc>
        <w:tc>
          <w:tcPr>
            <w:tcW w:w="990" w:type="dxa"/>
          </w:tcPr>
          <w:p w:rsidR="00DD2EBE" w:rsidRPr="00DA3E74" w:rsidRDefault="002307E0" w:rsidP="00EC74F5">
            <w:pPr>
              <w:tabs>
                <w:tab w:val="left" w:pos="3706"/>
              </w:tabs>
              <w:jc w:val="center"/>
              <w:rPr>
                <w:sz w:val="22"/>
                <w:szCs w:val="22"/>
                <w:lang w:val="lt-LT"/>
              </w:rPr>
            </w:pPr>
            <w:r>
              <w:rPr>
                <w:sz w:val="22"/>
                <w:szCs w:val="22"/>
                <w:lang w:val="lt-LT"/>
              </w:rPr>
              <w:t>8,8</w:t>
            </w:r>
          </w:p>
        </w:tc>
        <w:tc>
          <w:tcPr>
            <w:tcW w:w="1440" w:type="dxa"/>
          </w:tcPr>
          <w:p w:rsidR="00DD2EBE" w:rsidRPr="00DA3E74" w:rsidRDefault="002307E0" w:rsidP="00EC74F5">
            <w:pPr>
              <w:tabs>
                <w:tab w:val="left" w:pos="3706"/>
              </w:tabs>
              <w:jc w:val="center"/>
              <w:rPr>
                <w:sz w:val="22"/>
                <w:szCs w:val="22"/>
                <w:lang w:val="lt-LT"/>
              </w:rPr>
            </w:pPr>
            <w:r>
              <w:rPr>
                <w:sz w:val="22"/>
                <w:szCs w:val="22"/>
                <w:lang w:val="lt-LT"/>
              </w:rPr>
              <w:t>11,2</w:t>
            </w:r>
          </w:p>
        </w:tc>
        <w:tc>
          <w:tcPr>
            <w:tcW w:w="990" w:type="dxa"/>
          </w:tcPr>
          <w:p w:rsidR="00DD2EBE" w:rsidRPr="00DA3E74" w:rsidRDefault="0014391C" w:rsidP="00EC74F5">
            <w:pPr>
              <w:tabs>
                <w:tab w:val="left" w:pos="3706"/>
              </w:tabs>
              <w:jc w:val="center"/>
              <w:rPr>
                <w:sz w:val="22"/>
                <w:szCs w:val="22"/>
                <w:lang w:val="lt-LT"/>
              </w:rPr>
            </w:pPr>
            <w:r>
              <w:rPr>
                <w:sz w:val="22"/>
                <w:szCs w:val="22"/>
                <w:lang w:val="lt-LT"/>
              </w:rPr>
              <w:t>25,3</w:t>
            </w:r>
          </w:p>
        </w:tc>
        <w:tc>
          <w:tcPr>
            <w:tcW w:w="1080" w:type="dxa"/>
          </w:tcPr>
          <w:p w:rsidR="00DD2EBE" w:rsidRPr="00DA3E74" w:rsidRDefault="0014391C" w:rsidP="00EC74F5">
            <w:pPr>
              <w:tabs>
                <w:tab w:val="left" w:pos="3706"/>
              </w:tabs>
              <w:jc w:val="center"/>
              <w:rPr>
                <w:b/>
                <w:sz w:val="22"/>
                <w:szCs w:val="22"/>
                <w:lang w:val="lt-LT"/>
              </w:rPr>
            </w:pPr>
            <w:r>
              <w:rPr>
                <w:b/>
                <w:sz w:val="22"/>
                <w:szCs w:val="22"/>
                <w:lang w:val="lt-LT"/>
              </w:rPr>
              <w:t>47,1</w:t>
            </w:r>
          </w:p>
        </w:tc>
      </w:tr>
      <w:tr w:rsidR="00D5181D" w:rsidRPr="00DA3E74" w:rsidTr="004A05B0">
        <w:tc>
          <w:tcPr>
            <w:tcW w:w="4518" w:type="dxa"/>
            <w:vAlign w:val="center"/>
          </w:tcPr>
          <w:p w:rsidR="00D5181D" w:rsidRPr="00E11A67" w:rsidRDefault="00D5181D" w:rsidP="004B1605">
            <w:pPr>
              <w:spacing w:line="206" w:lineRule="atLeast"/>
              <w:jc w:val="both"/>
              <w:rPr>
                <w:rFonts w:eastAsia="Calibri"/>
                <w:b/>
                <w:sz w:val="22"/>
                <w:szCs w:val="22"/>
                <w:lang w:val="lt-LT"/>
              </w:rPr>
            </w:pPr>
            <w:r w:rsidRPr="00E11A67">
              <w:rPr>
                <w:rFonts w:eastAsia="Calibri"/>
                <w:b/>
                <w:sz w:val="22"/>
                <w:szCs w:val="22"/>
                <w:lang w:val="lt-LT" w:eastAsia="lt-LT"/>
              </w:rPr>
              <w:t>Palankesnių sąlygų pradėti veiklą ūkininkavimo sektoriuje sudarymas, visų pirma, kartų kaitos žemės ūkio sektoriuje palengvinimas</w:t>
            </w:r>
          </w:p>
        </w:tc>
        <w:tc>
          <w:tcPr>
            <w:tcW w:w="1170" w:type="dxa"/>
          </w:tcPr>
          <w:p w:rsidR="00D5181D" w:rsidRPr="00A7761E" w:rsidRDefault="00D5181D" w:rsidP="00D73E9C">
            <w:pPr>
              <w:tabs>
                <w:tab w:val="left" w:pos="3706"/>
              </w:tabs>
              <w:jc w:val="center"/>
              <w:rPr>
                <w:sz w:val="22"/>
                <w:szCs w:val="22"/>
                <w:lang w:val="lt-LT"/>
              </w:rPr>
            </w:pPr>
            <w:r>
              <w:rPr>
                <w:sz w:val="22"/>
                <w:szCs w:val="22"/>
                <w:lang w:val="lt-LT"/>
              </w:rPr>
              <w:t>12,9</w:t>
            </w:r>
          </w:p>
        </w:tc>
        <w:tc>
          <w:tcPr>
            <w:tcW w:w="990" w:type="dxa"/>
          </w:tcPr>
          <w:p w:rsidR="00D5181D" w:rsidRPr="00A7761E" w:rsidRDefault="00D5181D" w:rsidP="00D73E9C">
            <w:pPr>
              <w:tabs>
                <w:tab w:val="left" w:pos="3706"/>
              </w:tabs>
              <w:jc w:val="center"/>
              <w:rPr>
                <w:sz w:val="22"/>
                <w:szCs w:val="22"/>
                <w:lang w:val="lt-LT"/>
              </w:rPr>
            </w:pPr>
            <w:r>
              <w:rPr>
                <w:sz w:val="22"/>
                <w:szCs w:val="22"/>
                <w:lang w:val="lt-LT"/>
              </w:rPr>
              <w:t>3,5</w:t>
            </w:r>
          </w:p>
        </w:tc>
        <w:tc>
          <w:tcPr>
            <w:tcW w:w="1440" w:type="dxa"/>
          </w:tcPr>
          <w:p w:rsidR="00D5181D" w:rsidRPr="00A7761E" w:rsidRDefault="00D5181D" w:rsidP="00D73E9C">
            <w:pPr>
              <w:tabs>
                <w:tab w:val="left" w:pos="3706"/>
              </w:tabs>
              <w:jc w:val="center"/>
              <w:rPr>
                <w:sz w:val="22"/>
                <w:szCs w:val="22"/>
                <w:lang w:val="lt-LT"/>
              </w:rPr>
            </w:pPr>
            <w:r>
              <w:rPr>
                <w:sz w:val="22"/>
                <w:szCs w:val="22"/>
                <w:lang w:val="lt-LT"/>
              </w:rPr>
              <w:t>14,7</w:t>
            </w:r>
          </w:p>
        </w:tc>
        <w:tc>
          <w:tcPr>
            <w:tcW w:w="990" w:type="dxa"/>
          </w:tcPr>
          <w:p w:rsidR="00D5181D" w:rsidRPr="00A7761E" w:rsidRDefault="00D5181D" w:rsidP="00D73E9C">
            <w:pPr>
              <w:tabs>
                <w:tab w:val="left" w:pos="3706"/>
              </w:tabs>
              <w:jc w:val="center"/>
              <w:rPr>
                <w:sz w:val="22"/>
                <w:szCs w:val="22"/>
                <w:lang w:val="lt-LT"/>
              </w:rPr>
            </w:pPr>
            <w:r>
              <w:rPr>
                <w:sz w:val="22"/>
                <w:szCs w:val="22"/>
                <w:lang w:val="lt-LT"/>
              </w:rPr>
              <w:t>27,1</w:t>
            </w:r>
          </w:p>
        </w:tc>
        <w:tc>
          <w:tcPr>
            <w:tcW w:w="1080" w:type="dxa"/>
          </w:tcPr>
          <w:p w:rsidR="00D5181D" w:rsidRPr="00A7761E" w:rsidRDefault="00D5181D" w:rsidP="00D73E9C">
            <w:pPr>
              <w:tabs>
                <w:tab w:val="left" w:pos="3706"/>
              </w:tabs>
              <w:jc w:val="center"/>
              <w:rPr>
                <w:b/>
                <w:sz w:val="22"/>
                <w:szCs w:val="22"/>
                <w:lang w:val="lt-LT"/>
              </w:rPr>
            </w:pPr>
            <w:r>
              <w:rPr>
                <w:b/>
                <w:sz w:val="22"/>
                <w:szCs w:val="22"/>
                <w:lang w:val="lt-LT"/>
              </w:rPr>
              <w:t>41,8</w:t>
            </w:r>
          </w:p>
        </w:tc>
      </w:tr>
      <w:tr w:rsidR="00535667" w:rsidRPr="00DA3E74" w:rsidTr="0029467F">
        <w:tc>
          <w:tcPr>
            <w:tcW w:w="4518" w:type="dxa"/>
            <w:vAlign w:val="center"/>
          </w:tcPr>
          <w:p w:rsidR="00535667" w:rsidRPr="00E11A67" w:rsidRDefault="00535667" w:rsidP="004B1605">
            <w:pPr>
              <w:spacing w:line="206" w:lineRule="atLeast"/>
              <w:jc w:val="both"/>
              <w:rPr>
                <w:rFonts w:eastAsia="Calibri"/>
                <w:b/>
                <w:sz w:val="22"/>
                <w:szCs w:val="22"/>
                <w:lang w:val="lt-LT"/>
              </w:rPr>
            </w:pPr>
            <w:r w:rsidRPr="00E11A67">
              <w:rPr>
                <w:rFonts w:eastAsia="Calibri"/>
                <w:b/>
                <w:sz w:val="22"/>
                <w:szCs w:val="22"/>
                <w:lang w:val="lt-LT" w:eastAsia="lt-LT"/>
              </w:rPr>
              <w:t>Projektai, skirti vietos produkcijos perdirbimui ir realizavimui</w:t>
            </w:r>
          </w:p>
        </w:tc>
        <w:tc>
          <w:tcPr>
            <w:tcW w:w="1170" w:type="dxa"/>
          </w:tcPr>
          <w:p w:rsidR="00535667" w:rsidRPr="005B7802" w:rsidRDefault="0014391C" w:rsidP="00450B43">
            <w:pPr>
              <w:tabs>
                <w:tab w:val="left" w:pos="3706"/>
              </w:tabs>
              <w:jc w:val="center"/>
              <w:rPr>
                <w:sz w:val="22"/>
                <w:szCs w:val="22"/>
                <w:lang w:val="lt-LT"/>
              </w:rPr>
            </w:pPr>
            <w:r>
              <w:rPr>
                <w:sz w:val="22"/>
                <w:szCs w:val="22"/>
                <w:lang w:val="lt-LT"/>
              </w:rPr>
              <w:t>11,2</w:t>
            </w:r>
          </w:p>
        </w:tc>
        <w:tc>
          <w:tcPr>
            <w:tcW w:w="990" w:type="dxa"/>
          </w:tcPr>
          <w:p w:rsidR="00535667" w:rsidRPr="005B7802" w:rsidRDefault="0014391C" w:rsidP="00450B43">
            <w:pPr>
              <w:tabs>
                <w:tab w:val="left" w:pos="3706"/>
              </w:tabs>
              <w:jc w:val="center"/>
              <w:rPr>
                <w:sz w:val="22"/>
                <w:szCs w:val="22"/>
                <w:lang w:val="lt-LT"/>
              </w:rPr>
            </w:pPr>
            <w:r>
              <w:rPr>
                <w:sz w:val="22"/>
                <w:szCs w:val="22"/>
                <w:lang w:val="lt-LT"/>
              </w:rPr>
              <w:t>7,1</w:t>
            </w:r>
          </w:p>
        </w:tc>
        <w:tc>
          <w:tcPr>
            <w:tcW w:w="1440" w:type="dxa"/>
          </w:tcPr>
          <w:p w:rsidR="00535667" w:rsidRPr="005B7802" w:rsidRDefault="0014391C" w:rsidP="00450B43">
            <w:pPr>
              <w:tabs>
                <w:tab w:val="left" w:pos="3706"/>
              </w:tabs>
              <w:jc w:val="center"/>
              <w:rPr>
                <w:sz w:val="22"/>
                <w:szCs w:val="22"/>
                <w:lang w:val="lt-LT"/>
              </w:rPr>
            </w:pPr>
            <w:r>
              <w:rPr>
                <w:sz w:val="22"/>
                <w:szCs w:val="22"/>
                <w:lang w:val="lt-LT"/>
              </w:rPr>
              <w:t>14,1</w:t>
            </w:r>
          </w:p>
        </w:tc>
        <w:tc>
          <w:tcPr>
            <w:tcW w:w="990" w:type="dxa"/>
          </w:tcPr>
          <w:p w:rsidR="00535667" w:rsidRPr="005B7802" w:rsidRDefault="0014391C" w:rsidP="00450B43">
            <w:pPr>
              <w:tabs>
                <w:tab w:val="left" w:pos="3706"/>
              </w:tabs>
              <w:jc w:val="center"/>
              <w:rPr>
                <w:sz w:val="22"/>
                <w:szCs w:val="22"/>
                <w:lang w:val="lt-LT"/>
              </w:rPr>
            </w:pPr>
            <w:r>
              <w:rPr>
                <w:sz w:val="22"/>
                <w:szCs w:val="22"/>
                <w:lang w:val="lt-LT"/>
              </w:rPr>
              <w:t>27,1</w:t>
            </w:r>
          </w:p>
        </w:tc>
        <w:tc>
          <w:tcPr>
            <w:tcW w:w="1080" w:type="dxa"/>
          </w:tcPr>
          <w:p w:rsidR="00535667" w:rsidRPr="005B7802" w:rsidRDefault="0014391C" w:rsidP="00450B43">
            <w:pPr>
              <w:tabs>
                <w:tab w:val="left" w:pos="3706"/>
              </w:tabs>
              <w:jc w:val="center"/>
              <w:rPr>
                <w:b/>
                <w:sz w:val="22"/>
                <w:szCs w:val="22"/>
                <w:lang w:val="lt-LT"/>
              </w:rPr>
            </w:pPr>
            <w:r>
              <w:rPr>
                <w:b/>
                <w:sz w:val="22"/>
                <w:szCs w:val="22"/>
                <w:lang w:val="lt-LT"/>
              </w:rPr>
              <w:t>40,6</w:t>
            </w:r>
          </w:p>
        </w:tc>
      </w:tr>
      <w:tr w:rsidR="00222257" w:rsidRPr="00DA3E74" w:rsidTr="002C68D5">
        <w:tc>
          <w:tcPr>
            <w:tcW w:w="4518" w:type="dxa"/>
            <w:vAlign w:val="center"/>
          </w:tcPr>
          <w:p w:rsidR="00222257" w:rsidRPr="001412A6" w:rsidRDefault="00222257" w:rsidP="003817CA">
            <w:pPr>
              <w:spacing w:line="206" w:lineRule="atLeast"/>
              <w:jc w:val="both"/>
              <w:rPr>
                <w:rFonts w:eastAsia="Calibri"/>
                <w:sz w:val="22"/>
                <w:szCs w:val="22"/>
                <w:lang w:val="lt-LT"/>
              </w:rPr>
            </w:pPr>
            <w:r w:rsidRPr="001412A6">
              <w:rPr>
                <w:rFonts w:eastAsia="Calibri"/>
                <w:sz w:val="22"/>
                <w:szCs w:val="22"/>
                <w:lang w:val="lt-LT" w:eastAsia="lt-LT"/>
              </w:rPr>
              <w:t>Naujovių skatinimas ir diegimas kaimo vietovėse</w:t>
            </w:r>
          </w:p>
        </w:tc>
        <w:tc>
          <w:tcPr>
            <w:tcW w:w="1170" w:type="dxa"/>
          </w:tcPr>
          <w:p w:rsidR="00222257" w:rsidRPr="001412A6" w:rsidRDefault="0014391C" w:rsidP="001E10F0">
            <w:pPr>
              <w:tabs>
                <w:tab w:val="left" w:pos="3706"/>
              </w:tabs>
              <w:jc w:val="center"/>
              <w:rPr>
                <w:sz w:val="22"/>
                <w:szCs w:val="22"/>
                <w:lang w:val="lt-LT"/>
              </w:rPr>
            </w:pPr>
            <w:r>
              <w:rPr>
                <w:sz w:val="22"/>
                <w:szCs w:val="22"/>
                <w:lang w:val="lt-LT"/>
              </w:rPr>
              <w:t>8,2</w:t>
            </w:r>
          </w:p>
        </w:tc>
        <w:tc>
          <w:tcPr>
            <w:tcW w:w="990" w:type="dxa"/>
          </w:tcPr>
          <w:p w:rsidR="00222257" w:rsidRPr="001412A6" w:rsidRDefault="0014391C" w:rsidP="001E10F0">
            <w:pPr>
              <w:tabs>
                <w:tab w:val="left" w:pos="3706"/>
              </w:tabs>
              <w:jc w:val="center"/>
              <w:rPr>
                <w:sz w:val="22"/>
                <w:szCs w:val="22"/>
                <w:lang w:val="lt-LT"/>
              </w:rPr>
            </w:pPr>
            <w:r>
              <w:rPr>
                <w:sz w:val="22"/>
                <w:szCs w:val="22"/>
                <w:lang w:val="lt-LT"/>
              </w:rPr>
              <w:t>4,7</w:t>
            </w:r>
          </w:p>
        </w:tc>
        <w:tc>
          <w:tcPr>
            <w:tcW w:w="1440" w:type="dxa"/>
          </w:tcPr>
          <w:p w:rsidR="00222257" w:rsidRPr="001412A6" w:rsidRDefault="0014391C" w:rsidP="001E10F0">
            <w:pPr>
              <w:tabs>
                <w:tab w:val="left" w:pos="3706"/>
              </w:tabs>
              <w:jc w:val="center"/>
              <w:rPr>
                <w:sz w:val="22"/>
                <w:szCs w:val="22"/>
                <w:lang w:val="lt-LT"/>
              </w:rPr>
            </w:pPr>
            <w:r>
              <w:rPr>
                <w:sz w:val="22"/>
                <w:szCs w:val="22"/>
                <w:lang w:val="lt-LT"/>
              </w:rPr>
              <w:t>11,2</w:t>
            </w:r>
          </w:p>
        </w:tc>
        <w:tc>
          <w:tcPr>
            <w:tcW w:w="990" w:type="dxa"/>
          </w:tcPr>
          <w:p w:rsidR="00222257" w:rsidRPr="001412A6" w:rsidRDefault="0014391C" w:rsidP="001E10F0">
            <w:pPr>
              <w:tabs>
                <w:tab w:val="left" w:pos="3706"/>
              </w:tabs>
              <w:jc w:val="center"/>
              <w:rPr>
                <w:sz w:val="22"/>
                <w:szCs w:val="22"/>
                <w:lang w:val="lt-LT"/>
              </w:rPr>
            </w:pPr>
            <w:r>
              <w:rPr>
                <w:sz w:val="22"/>
                <w:szCs w:val="22"/>
                <w:lang w:val="lt-LT"/>
              </w:rPr>
              <w:t>39,4</w:t>
            </w:r>
          </w:p>
        </w:tc>
        <w:tc>
          <w:tcPr>
            <w:tcW w:w="1080" w:type="dxa"/>
          </w:tcPr>
          <w:p w:rsidR="00222257" w:rsidRPr="001412A6" w:rsidRDefault="0014391C" w:rsidP="001E10F0">
            <w:pPr>
              <w:tabs>
                <w:tab w:val="left" w:pos="3706"/>
              </w:tabs>
              <w:jc w:val="center"/>
              <w:rPr>
                <w:b/>
                <w:sz w:val="22"/>
                <w:szCs w:val="22"/>
                <w:lang w:val="lt-LT"/>
              </w:rPr>
            </w:pPr>
            <w:r>
              <w:rPr>
                <w:b/>
                <w:sz w:val="22"/>
                <w:szCs w:val="22"/>
                <w:lang w:val="lt-LT"/>
              </w:rPr>
              <w:t>35,9</w:t>
            </w:r>
          </w:p>
        </w:tc>
      </w:tr>
      <w:tr w:rsidR="0044613E" w:rsidRPr="00DA3E74" w:rsidTr="009763A5">
        <w:tc>
          <w:tcPr>
            <w:tcW w:w="4518" w:type="dxa"/>
            <w:vAlign w:val="center"/>
          </w:tcPr>
          <w:p w:rsidR="0044613E" w:rsidRPr="0008498A" w:rsidRDefault="0044613E" w:rsidP="003817CA">
            <w:pPr>
              <w:spacing w:line="206" w:lineRule="atLeast"/>
              <w:jc w:val="both"/>
              <w:rPr>
                <w:rFonts w:eastAsia="Calibri"/>
                <w:sz w:val="22"/>
                <w:szCs w:val="22"/>
                <w:lang w:val="lt-LT"/>
              </w:rPr>
            </w:pPr>
            <w:r w:rsidRPr="0008498A">
              <w:rPr>
                <w:rFonts w:eastAsia="Calibri"/>
                <w:sz w:val="22"/>
                <w:szCs w:val="22"/>
                <w:lang w:val="lt-LT" w:eastAsia="lt-LT"/>
              </w:rPr>
              <w:t>Bendruomeniškumą skatinančios iniciatyvos</w:t>
            </w:r>
          </w:p>
        </w:tc>
        <w:tc>
          <w:tcPr>
            <w:tcW w:w="1170" w:type="dxa"/>
          </w:tcPr>
          <w:p w:rsidR="0044613E" w:rsidRPr="0008498A" w:rsidRDefault="0014391C" w:rsidP="001810D9">
            <w:pPr>
              <w:tabs>
                <w:tab w:val="left" w:pos="3706"/>
              </w:tabs>
              <w:jc w:val="center"/>
              <w:rPr>
                <w:sz w:val="22"/>
                <w:szCs w:val="22"/>
                <w:lang w:val="lt-LT"/>
              </w:rPr>
            </w:pPr>
            <w:r>
              <w:rPr>
                <w:sz w:val="22"/>
                <w:szCs w:val="22"/>
                <w:lang w:val="lt-LT"/>
              </w:rPr>
              <w:t>10,6</w:t>
            </w:r>
          </w:p>
        </w:tc>
        <w:tc>
          <w:tcPr>
            <w:tcW w:w="990" w:type="dxa"/>
          </w:tcPr>
          <w:p w:rsidR="0044613E" w:rsidRPr="0008498A" w:rsidRDefault="0014391C" w:rsidP="001810D9">
            <w:pPr>
              <w:tabs>
                <w:tab w:val="left" w:pos="3706"/>
              </w:tabs>
              <w:jc w:val="center"/>
              <w:rPr>
                <w:sz w:val="22"/>
                <w:szCs w:val="22"/>
                <w:lang w:val="lt-LT"/>
              </w:rPr>
            </w:pPr>
            <w:r>
              <w:rPr>
                <w:sz w:val="22"/>
                <w:szCs w:val="22"/>
                <w:lang w:val="lt-LT"/>
              </w:rPr>
              <w:t>6,5</w:t>
            </w:r>
          </w:p>
        </w:tc>
        <w:tc>
          <w:tcPr>
            <w:tcW w:w="1440" w:type="dxa"/>
          </w:tcPr>
          <w:p w:rsidR="0044613E" w:rsidRPr="0008498A" w:rsidRDefault="0014391C" w:rsidP="001810D9">
            <w:pPr>
              <w:tabs>
                <w:tab w:val="left" w:pos="3706"/>
              </w:tabs>
              <w:jc w:val="center"/>
              <w:rPr>
                <w:sz w:val="22"/>
                <w:szCs w:val="22"/>
                <w:lang w:val="lt-LT"/>
              </w:rPr>
            </w:pPr>
            <w:r>
              <w:rPr>
                <w:sz w:val="22"/>
                <w:szCs w:val="22"/>
                <w:lang w:val="lt-LT"/>
              </w:rPr>
              <w:t>24,1</w:t>
            </w:r>
          </w:p>
        </w:tc>
        <w:tc>
          <w:tcPr>
            <w:tcW w:w="990" w:type="dxa"/>
          </w:tcPr>
          <w:p w:rsidR="0044613E" w:rsidRPr="0008498A" w:rsidRDefault="0014391C" w:rsidP="001810D9">
            <w:pPr>
              <w:tabs>
                <w:tab w:val="left" w:pos="3706"/>
              </w:tabs>
              <w:jc w:val="center"/>
              <w:rPr>
                <w:sz w:val="22"/>
                <w:szCs w:val="22"/>
                <w:lang w:val="lt-LT"/>
              </w:rPr>
            </w:pPr>
            <w:r>
              <w:rPr>
                <w:sz w:val="22"/>
                <w:szCs w:val="22"/>
                <w:lang w:val="lt-LT"/>
              </w:rPr>
              <w:t>27,6</w:t>
            </w:r>
          </w:p>
        </w:tc>
        <w:tc>
          <w:tcPr>
            <w:tcW w:w="1080" w:type="dxa"/>
          </w:tcPr>
          <w:p w:rsidR="0044613E" w:rsidRPr="0008498A" w:rsidRDefault="0014391C" w:rsidP="001810D9">
            <w:pPr>
              <w:tabs>
                <w:tab w:val="left" w:pos="3706"/>
              </w:tabs>
              <w:jc w:val="center"/>
              <w:rPr>
                <w:b/>
                <w:sz w:val="22"/>
                <w:szCs w:val="22"/>
                <w:lang w:val="lt-LT"/>
              </w:rPr>
            </w:pPr>
            <w:r>
              <w:rPr>
                <w:b/>
                <w:sz w:val="22"/>
                <w:szCs w:val="22"/>
                <w:lang w:val="lt-LT"/>
              </w:rPr>
              <w:t>31,2</w:t>
            </w:r>
          </w:p>
        </w:tc>
      </w:tr>
      <w:tr w:rsidR="00DD2EBE" w:rsidRPr="00DA3E74" w:rsidTr="00146F2E">
        <w:tc>
          <w:tcPr>
            <w:tcW w:w="4518" w:type="dxa"/>
            <w:vAlign w:val="center"/>
          </w:tcPr>
          <w:p w:rsidR="00DD2EBE" w:rsidRPr="0008498A" w:rsidRDefault="00DD2EBE" w:rsidP="003817CA">
            <w:pPr>
              <w:spacing w:line="206" w:lineRule="atLeast"/>
              <w:jc w:val="both"/>
              <w:rPr>
                <w:rFonts w:eastAsia="Calibri"/>
                <w:sz w:val="22"/>
                <w:szCs w:val="22"/>
                <w:lang w:val="lt-LT"/>
              </w:rPr>
            </w:pPr>
            <w:r w:rsidRPr="0008498A">
              <w:rPr>
                <w:rFonts w:eastAsia="Calibri"/>
                <w:sz w:val="22"/>
                <w:szCs w:val="22"/>
                <w:lang w:val="lt-LT" w:eastAsia="lt-LT"/>
              </w:rPr>
              <w:lastRenderedPageBreak/>
              <w:t>Prieigos prie informacinių ir ryšių technologijų plėtra, jų naudojimo skatinimas ir kokybės gerinimas kaimo vietovėse</w:t>
            </w:r>
          </w:p>
        </w:tc>
        <w:tc>
          <w:tcPr>
            <w:tcW w:w="1170" w:type="dxa"/>
          </w:tcPr>
          <w:p w:rsidR="00DD2EBE" w:rsidRPr="0008498A" w:rsidRDefault="0014391C" w:rsidP="00EC74F5">
            <w:pPr>
              <w:tabs>
                <w:tab w:val="left" w:pos="3706"/>
              </w:tabs>
              <w:jc w:val="center"/>
              <w:rPr>
                <w:sz w:val="22"/>
                <w:szCs w:val="22"/>
                <w:lang w:val="lt-LT"/>
              </w:rPr>
            </w:pPr>
            <w:r>
              <w:rPr>
                <w:sz w:val="22"/>
                <w:szCs w:val="22"/>
                <w:lang w:val="lt-LT"/>
              </w:rPr>
              <w:t>11,2</w:t>
            </w:r>
          </w:p>
        </w:tc>
        <w:tc>
          <w:tcPr>
            <w:tcW w:w="990" w:type="dxa"/>
          </w:tcPr>
          <w:p w:rsidR="00DD2EBE" w:rsidRPr="0008498A" w:rsidRDefault="0014391C" w:rsidP="00EC74F5">
            <w:pPr>
              <w:tabs>
                <w:tab w:val="left" w:pos="3706"/>
              </w:tabs>
              <w:jc w:val="center"/>
              <w:rPr>
                <w:sz w:val="22"/>
                <w:szCs w:val="22"/>
                <w:lang w:val="lt-LT"/>
              </w:rPr>
            </w:pPr>
            <w:r>
              <w:rPr>
                <w:sz w:val="22"/>
                <w:szCs w:val="22"/>
                <w:lang w:val="lt-LT"/>
              </w:rPr>
              <w:t>7,6</w:t>
            </w:r>
          </w:p>
        </w:tc>
        <w:tc>
          <w:tcPr>
            <w:tcW w:w="1440" w:type="dxa"/>
          </w:tcPr>
          <w:p w:rsidR="00DD2EBE" w:rsidRPr="0008498A" w:rsidRDefault="0014391C" w:rsidP="00EC74F5">
            <w:pPr>
              <w:tabs>
                <w:tab w:val="left" w:pos="3706"/>
              </w:tabs>
              <w:jc w:val="center"/>
              <w:rPr>
                <w:sz w:val="22"/>
                <w:szCs w:val="22"/>
                <w:lang w:val="lt-LT"/>
              </w:rPr>
            </w:pPr>
            <w:r>
              <w:rPr>
                <w:sz w:val="22"/>
                <w:szCs w:val="22"/>
                <w:lang w:val="lt-LT"/>
              </w:rPr>
              <w:t>21,8</w:t>
            </w:r>
          </w:p>
        </w:tc>
        <w:tc>
          <w:tcPr>
            <w:tcW w:w="990" w:type="dxa"/>
          </w:tcPr>
          <w:p w:rsidR="00DD2EBE" w:rsidRPr="0008498A" w:rsidRDefault="0014391C" w:rsidP="001810D9">
            <w:pPr>
              <w:tabs>
                <w:tab w:val="left" w:pos="3706"/>
              </w:tabs>
              <w:jc w:val="center"/>
              <w:rPr>
                <w:sz w:val="22"/>
                <w:szCs w:val="22"/>
                <w:lang w:val="lt-LT"/>
              </w:rPr>
            </w:pPr>
            <w:r>
              <w:rPr>
                <w:sz w:val="22"/>
                <w:szCs w:val="22"/>
                <w:lang w:val="lt-LT"/>
              </w:rPr>
              <w:t>31,8</w:t>
            </w:r>
          </w:p>
        </w:tc>
        <w:tc>
          <w:tcPr>
            <w:tcW w:w="1080" w:type="dxa"/>
          </w:tcPr>
          <w:p w:rsidR="00DD2EBE" w:rsidRPr="0008498A" w:rsidRDefault="0014391C" w:rsidP="001810D9">
            <w:pPr>
              <w:tabs>
                <w:tab w:val="left" w:pos="3706"/>
              </w:tabs>
              <w:jc w:val="center"/>
              <w:rPr>
                <w:b/>
                <w:sz w:val="22"/>
                <w:szCs w:val="22"/>
                <w:lang w:val="lt-LT"/>
              </w:rPr>
            </w:pPr>
            <w:r>
              <w:rPr>
                <w:b/>
                <w:sz w:val="22"/>
                <w:szCs w:val="22"/>
                <w:lang w:val="lt-LT"/>
              </w:rPr>
              <w:t>27,1</w:t>
            </w:r>
          </w:p>
        </w:tc>
      </w:tr>
      <w:tr w:rsidR="004E0E6B" w:rsidRPr="00DA3E74" w:rsidTr="00146F2E">
        <w:tc>
          <w:tcPr>
            <w:tcW w:w="4518" w:type="dxa"/>
            <w:vAlign w:val="center"/>
          </w:tcPr>
          <w:p w:rsidR="004E0E6B" w:rsidRPr="00A91229" w:rsidRDefault="004E0E6B" w:rsidP="003817CA">
            <w:pPr>
              <w:spacing w:line="206" w:lineRule="atLeast"/>
              <w:jc w:val="both"/>
              <w:rPr>
                <w:rFonts w:eastAsia="Calibri"/>
                <w:sz w:val="22"/>
                <w:szCs w:val="22"/>
                <w:lang w:val="lt-LT"/>
              </w:rPr>
            </w:pPr>
            <w:r w:rsidRPr="00A91229">
              <w:rPr>
                <w:rFonts w:eastAsia="Calibri"/>
                <w:sz w:val="22"/>
                <w:szCs w:val="22"/>
                <w:lang w:val="lt-LT" w:eastAsia="lt-LT"/>
              </w:rPr>
              <w:t>Atsinaujinančiųjų energijos išteklių, šalutinių produktų, atliekų, liekanų ir kitų nemaistinių žaliavų tiekimo ir naudojimo palengvinimas bioekonomikos tikslais</w:t>
            </w:r>
          </w:p>
        </w:tc>
        <w:tc>
          <w:tcPr>
            <w:tcW w:w="1170" w:type="dxa"/>
          </w:tcPr>
          <w:p w:rsidR="004E0E6B" w:rsidRPr="00A91229" w:rsidRDefault="00D5181D" w:rsidP="00064EFC">
            <w:pPr>
              <w:tabs>
                <w:tab w:val="left" w:pos="3706"/>
              </w:tabs>
              <w:jc w:val="center"/>
              <w:rPr>
                <w:sz w:val="22"/>
                <w:szCs w:val="22"/>
                <w:lang w:val="lt-LT"/>
              </w:rPr>
            </w:pPr>
            <w:r>
              <w:rPr>
                <w:sz w:val="22"/>
                <w:szCs w:val="22"/>
                <w:lang w:val="lt-LT"/>
              </w:rPr>
              <w:t>13,5</w:t>
            </w:r>
          </w:p>
        </w:tc>
        <w:tc>
          <w:tcPr>
            <w:tcW w:w="990" w:type="dxa"/>
          </w:tcPr>
          <w:p w:rsidR="004E0E6B" w:rsidRPr="00A91229" w:rsidRDefault="00D5181D" w:rsidP="00064EFC">
            <w:pPr>
              <w:tabs>
                <w:tab w:val="left" w:pos="3706"/>
              </w:tabs>
              <w:jc w:val="center"/>
              <w:rPr>
                <w:sz w:val="22"/>
                <w:szCs w:val="22"/>
                <w:lang w:val="lt-LT"/>
              </w:rPr>
            </w:pPr>
            <w:r>
              <w:rPr>
                <w:sz w:val="22"/>
                <w:szCs w:val="22"/>
                <w:lang w:val="lt-LT"/>
              </w:rPr>
              <w:t>8,8</w:t>
            </w:r>
          </w:p>
        </w:tc>
        <w:tc>
          <w:tcPr>
            <w:tcW w:w="1440" w:type="dxa"/>
          </w:tcPr>
          <w:p w:rsidR="004E0E6B" w:rsidRPr="00A91229" w:rsidRDefault="00D5181D" w:rsidP="00064EFC">
            <w:pPr>
              <w:tabs>
                <w:tab w:val="left" w:pos="3706"/>
              </w:tabs>
              <w:jc w:val="center"/>
              <w:rPr>
                <w:sz w:val="22"/>
                <w:szCs w:val="22"/>
                <w:lang w:val="lt-LT"/>
              </w:rPr>
            </w:pPr>
            <w:r>
              <w:rPr>
                <w:sz w:val="22"/>
                <w:szCs w:val="22"/>
                <w:lang w:val="lt-LT"/>
              </w:rPr>
              <w:t>25,3</w:t>
            </w:r>
          </w:p>
        </w:tc>
        <w:tc>
          <w:tcPr>
            <w:tcW w:w="990" w:type="dxa"/>
          </w:tcPr>
          <w:p w:rsidR="004E0E6B" w:rsidRPr="00A91229" w:rsidRDefault="00D5181D" w:rsidP="00064EFC">
            <w:pPr>
              <w:tabs>
                <w:tab w:val="left" w:pos="3706"/>
              </w:tabs>
              <w:jc w:val="center"/>
              <w:rPr>
                <w:sz w:val="22"/>
                <w:szCs w:val="22"/>
                <w:lang w:val="lt-LT"/>
              </w:rPr>
            </w:pPr>
            <w:r>
              <w:rPr>
                <w:sz w:val="22"/>
                <w:szCs w:val="22"/>
                <w:lang w:val="lt-LT"/>
              </w:rPr>
              <w:t>27,1</w:t>
            </w:r>
          </w:p>
        </w:tc>
        <w:tc>
          <w:tcPr>
            <w:tcW w:w="1080" w:type="dxa"/>
          </w:tcPr>
          <w:p w:rsidR="004E0E6B" w:rsidRPr="00A91229" w:rsidRDefault="00D5181D" w:rsidP="00064EFC">
            <w:pPr>
              <w:tabs>
                <w:tab w:val="left" w:pos="3706"/>
              </w:tabs>
              <w:jc w:val="center"/>
              <w:rPr>
                <w:b/>
                <w:sz w:val="22"/>
                <w:szCs w:val="22"/>
                <w:lang w:val="lt-LT"/>
              </w:rPr>
            </w:pPr>
            <w:r>
              <w:rPr>
                <w:b/>
                <w:sz w:val="22"/>
                <w:szCs w:val="22"/>
                <w:lang w:val="lt-LT"/>
              </w:rPr>
              <w:t>25,3</w:t>
            </w:r>
          </w:p>
        </w:tc>
      </w:tr>
      <w:tr w:rsidR="00214C9D" w:rsidRPr="00DA3E74" w:rsidTr="00146F2E">
        <w:tc>
          <w:tcPr>
            <w:tcW w:w="4518" w:type="dxa"/>
            <w:vAlign w:val="center"/>
          </w:tcPr>
          <w:p w:rsidR="00214C9D" w:rsidRPr="0008498A" w:rsidRDefault="00214C9D" w:rsidP="003817CA">
            <w:pPr>
              <w:spacing w:line="206" w:lineRule="atLeast"/>
              <w:jc w:val="both"/>
              <w:rPr>
                <w:rFonts w:eastAsia="Calibri"/>
                <w:sz w:val="22"/>
                <w:szCs w:val="22"/>
                <w:lang w:val="lt-LT"/>
              </w:rPr>
            </w:pPr>
            <w:r w:rsidRPr="0008498A">
              <w:rPr>
                <w:rFonts w:eastAsia="Calibri"/>
                <w:sz w:val="22"/>
                <w:szCs w:val="22"/>
                <w:lang w:val="lt-LT" w:eastAsia="lt-LT"/>
              </w:rPr>
              <w:t>Savanorystę skatinančios veiklos</w:t>
            </w:r>
          </w:p>
        </w:tc>
        <w:tc>
          <w:tcPr>
            <w:tcW w:w="1170" w:type="dxa"/>
          </w:tcPr>
          <w:p w:rsidR="00214C9D" w:rsidRPr="0008498A" w:rsidRDefault="0014391C" w:rsidP="00EC74F5">
            <w:pPr>
              <w:tabs>
                <w:tab w:val="left" w:pos="3706"/>
              </w:tabs>
              <w:jc w:val="center"/>
              <w:rPr>
                <w:sz w:val="22"/>
                <w:szCs w:val="22"/>
                <w:lang w:val="lt-LT"/>
              </w:rPr>
            </w:pPr>
            <w:r>
              <w:rPr>
                <w:sz w:val="22"/>
                <w:szCs w:val="22"/>
                <w:lang w:val="lt-LT"/>
              </w:rPr>
              <w:t>16,5</w:t>
            </w:r>
          </w:p>
        </w:tc>
        <w:tc>
          <w:tcPr>
            <w:tcW w:w="990" w:type="dxa"/>
          </w:tcPr>
          <w:p w:rsidR="00214C9D" w:rsidRPr="0008498A" w:rsidRDefault="0014391C" w:rsidP="00EC74F5">
            <w:pPr>
              <w:tabs>
                <w:tab w:val="left" w:pos="3706"/>
              </w:tabs>
              <w:jc w:val="center"/>
              <w:rPr>
                <w:sz w:val="22"/>
                <w:szCs w:val="22"/>
                <w:lang w:val="lt-LT"/>
              </w:rPr>
            </w:pPr>
            <w:r>
              <w:rPr>
                <w:sz w:val="22"/>
                <w:szCs w:val="22"/>
                <w:lang w:val="lt-LT"/>
              </w:rPr>
              <w:t>9,4</w:t>
            </w:r>
          </w:p>
        </w:tc>
        <w:tc>
          <w:tcPr>
            <w:tcW w:w="1440" w:type="dxa"/>
          </w:tcPr>
          <w:p w:rsidR="00214C9D" w:rsidRPr="0008498A" w:rsidRDefault="0014391C" w:rsidP="00EC74F5">
            <w:pPr>
              <w:tabs>
                <w:tab w:val="left" w:pos="3706"/>
              </w:tabs>
              <w:jc w:val="center"/>
              <w:rPr>
                <w:sz w:val="22"/>
                <w:szCs w:val="22"/>
                <w:lang w:val="lt-LT"/>
              </w:rPr>
            </w:pPr>
            <w:r>
              <w:rPr>
                <w:sz w:val="22"/>
                <w:szCs w:val="22"/>
                <w:lang w:val="lt-LT"/>
              </w:rPr>
              <w:t>27,6</w:t>
            </w:r>
          </w:p>
        </w:tc>
        <w:tc>
          <w:tcPr>
            <w:tcW w:w="990" w:type="dxa"/>
          </w:tcPr>
          <w:p w:rsidR="00214C9D" w:rsidRPr="0008498A" w:rsidRDefault="0014391C" w:rsidP="00EC74F5">
            <w:pPr>
              <w:tabs>
                <w:tab w:val="left" w:pos="3706"/>
              </w:tabs>
              <w:jc w:val="center"/>
              <w:rPr>
                <w:sz w:val="22"/>
                <w:szCs w:val="22"/>
                <w:lang w:val="lt-LT"/>
              </w:rPr>
            </w:pPr>
            <w:r>
              <w:rPr>
                <w:sz w:val="22"/>
                <w:szCs w:val="22"/>
                <w:lang w:val="lt-LT"/>
              </w:rPr>
              <w:t>21,8</w:t>
            </w:r>
          </w:p>
        </w:tc>
        <w:tc>
          <w:tcPr>
            <w:tcW w:w="1080" w:type="dxa"/>
          </w:tcPr>
          <w:p w:rsidR="00214C9D" w:rsidRPr="0008498A" w:rsidRDefault="0014391C" w:rsidP="00EC74F5">
            <w:pPr>
              <w:tabs>
                <w:tab w:val="left" w:pos="3706"/>
              </w:tabs>
              <w:jc w:val="center"/>
              <w:rPr>
                <w:b/>
                <w:sz w:val="22"/>
                <w:szCs w:val="22"/>
                <w:lang w:val="lt-LT"/>
              </w:rPr>
            </w:pPr>
            <w:r>
              <w:rPr>
                <w:b/>
                <w:sz w:val="22"/>
                <w:szCs w:val="22"/>
                <w:lang w:val="lt-LT"/>
              </w:rPr>
              <w:t>24,7</w:t>
            </w:r>
          </w:p>
        </w:tc>
      </w:tr>
      <w:tr w:rsidR="00214C9D" w:rsidRPr="00DA3E74" w:rsidTr="00341979">
        <w:tc>
          <w:tcPr>
            <w:tcW w:w="4518" w:type="dxa"/>
            <w:vAlign w:val="center"/>
          </w:tcPr>
          <w:p w:rsidR="00214C9D" w:rsidRPr="005B7802" w:rsidRDefault="00214C9D" w:rsidP="003817CA">
            <w:pPr>
              <w:spacing w:line="206" w:lineRule="atLeast"/>
              <w:jc w:val="both"/>
              <w:rPr>
                <w:rFonts w:eastAsia="Calibri"/>
                <w:sz w:val="22"/>
                <w:szCs w:val="22"/>
                <w:lang w:val="lt-LT"/>
              </w:rPr>
            </w:pPr>
            <w:r w:rsidRPr="005B7802">
              <w:rPr>
                <w:rFonts w:eastAsia="Calibri"/>
                <w:sz w:val="22"/>
                <w:szCs w:val="22"/>
                <w:lang w:val="lt-LT" w:eastAsia="lt-LT"/>
              </w:rPr>
              <w:t>Didelės gamtinės vertės ūkininkavimas ir kraštovaizdžių būklė</w:t>
            </w:r>
          </w:p>
        </w:tc>
        <w:tc>
          <w:tcPr>
            <w:tcW w:w="1170" w:type="dxa"/>
          </w:tcPr>
          <w:p w:rsidR="00214C9D" w:rsidRPr="005B7802" w:rsidRDefault="0014391C" w:rsidP="00EC74F5">
            <w:pPr>
              <w:tabs>
                <w:tab w:val="left" w:pos="3706"/>
              </w:tabs>
              <w:jc w:val="center"/>
              <w:rPr>
                <w:sz w:val="22"/>
                <w:szCs w:val="22"/>
                <w:lang w:val="lt-LT"/>
              </w:rPr>
            </w:pPr>
            <w:r>
              <w:rPr>
                <w:sz w:val="22"/>
                <w:szCs w:val="22"/>
                <w:lang w:val="lt-LT"/>
              </w:rPr>
              <w:t>13,5</w:t>
            </w:r>
          </w:p>
        </w:tc>
        <w:tc>
          <w:tcPr>
            <w:tcW w:w="990" w:type="dxa"/>
          </w:tcPr>
          <w:p w:rsidR="00214C9D" w:rsidRPr="005B7802" w:rsidRDefault="0014391C" w:rsidP="00EC74F5">
            <w:pPr>
              <w:tabs>
                <w:tab w:val="left" w:pos="3706"/>
              </w:tabs>
              <w:jc w:val="center"/>
              <w:rPr>
                <w:sz w:val="22"/>
                <w:szCs w:val="22"/>
                <w:lang w:val="lt-LT"/>
              </w:rPr>
            </w:pPr>
            <w:r>
              <w:rPr>
                <w:sz w:val="22"/>
                <w:szCs w:val="22"/>
                <w:lang w:val="lt-LT"/>
              </w:rPr>
              <w:t>10,6</w:t>
            </w:r>
          </w:p>
        </w:tc>
        <w:tc>
          <w:tcPr>
            <w:tcW w:w="1440" w:type="dxa"/>
          </w:tcPr>
          <w:p w:rsidR="00214C9D" w:rsidRPr="005B7802" w:rsidRDefault="0014391C" w:rsidP="00EC74F5">
            <w:pPr>
              <w:tabs>
                <w:tab w:val="left" w:pos="3706"/>
              </w:tabs>
              <w:jc w:val="center"/>
              <w:rPr>
                <w:sz w:val="22"/>
                <w:szCs w:val="22"/>
                <w:lang w:val="lt-LT"/>
              </w:rPr>
            </w:pPr>
            <w:r>
              <w:rPr>
                <w:sz w:val="22"/>
                <w:szCs w:val="22"/>
                <w:lang w:val="lt-LT"/>
              </w:rPr>
              <w:t>24,7</w:t>
            </w:r>
          </w:p>
        </w:tc>
        <w:tc>
          <w:tcPr>
            <w:tcW w:w="990" w:type="dxa"/>
          </w:tcPr>
          <w:p w:rsidR="00214C9D" w:rsidRPr="005B7802" w:rsidRDefault="0014391C" w:rsidP="00EC74F5">
            <w:pPr>
              <w:tabs>
                <w:tab w:val="left" w:pos="3706"/>
              </w:tabs>
              <w:jc w:val="center"/>
              <w:rPr>
                <w:sz w:val="22"/>
                <w:szCs w:val="22"/>
                <w:lang w:val="lt-LT"/>
              </w:rPr>
            </w:pPr>
            <w:r>
              <w:rPr>
                <w:sz w:val="22"/>
                <w:szCs w:val="22"/>
                <w:lang w:val="lt-LT"/>
              </w:rPr>
              <w:t>27,1</w:t>
            </w:r>
          </w:p>
        </w:tc>
        <w:tc>
          <w:tcPr>
            <w:tcW w:w="1080" w:type="dxa"/>
          </w:tcPr>
          <w:p w:rsidR="00214C9D" w:rsidRPr="005B7802" w:rsidRDefault="0014391C" w:rsidP="00EC74F5">
            <w:pPr>
              <w:tabs>
                <w:tab w:val="left" w:pos="3706"/>
              </w:tabs>
              <w:jc w:val="center"/>
              <w:rPr>
                <w:b/>
                <w:sz w:val="22"/>
                <w:szCs w:val="22"/>
                <w:lang w:val="lt-LT"/>
              </w:rPr>
            </w:pPr>
            <w:r>
              <w:rPr>
                <w:b/>
                <w:sz w:val="22"/>
                <w:szCs w:val="22"/>
                <w:lang w:val="lt-LT"/>
              </w:rPr>
              <w:t>24,1</w:t>
            </w:r>
          </w:p>
        </w:tc>
      </w:tr>
      <w:tr w:rsidR="00222257" w:rsidRPr="00DA3E74" w:rsidTr="00341979">
        <w:tc>
          <w:tcPr>
            <w:tcW w:w="4518" w:type="dxa"/>
            <w:vAlign w:val="center"/>
          </w:tcPr>
          <w:p w:rsidR="00222257" w:rsidRPr="00A7761E" w:rsidRDefault="00222257" w:rsidP="003817CA">
            <w:pPr>
              <w:spacing w:line="206" w:lineRule="atLeast"/>
              <w:jc w:val="both"/>
              <w:rPr>
                <w:rFonts w:eastAsia="Calibri"/>
                <w:sz w:val="22"/>
                <w:szCs w:val="22"/>
                <w:lang w:val="lt-LT"/>
              </w:rPr>
            </w:pPr>
            <w:r w:rsidRPr="00A7761E">
              <w:rPr>
                <w:rFonts w:eastAsia="Calibri"/>
                <w:sz w:val="22"/>
                <w:szCs w:val="22"/>
                <w:lang w:val="lt-LT" w:eastAsia="lt-LT"/>
              </w:rPr>
              <w:t>Mokymosi visą gyvenimą ir profesinio mokymo žemės ūkio ir miškininkystės sektoriuose skatinimas</w:t>
            </w:r>
          </w:p>
        </w:tc>
        <w:tc>
          <w:tcPr>
            <w:tcW w:w="1170" w:type="dxa"/>
          </w:tcPr>
          <w:p w:rsidR="00222257" w:rsidRPr="00A7761E" w:rsidRDefault="0014391C" w:rsidP="001E10F0">
            <w:pPr>
              <w:tabs>
                <w:tab w:val="left" w:pos="3706"/>
              </w:tabs>
              <w:jc w:val="center"/>
              <w:rPr>
                <w:sz w:val="22"/>
                <w:szCs w:val="22"/>
                <w:lang w:val="lt-LT"/>
              </w:rPr>
            </w:pPr>
            <w:r>
              <w:rPr>
                <w:sz w:val="22"/>
                <w:szCs w:val="22"/>
                <w:lang w:val="lt-LT"/>
              </w:rPr>
              <w:t>13,5</w:t>
            </w:r>
          </w:p>
        </w:tc>
        <w:tc>
          <w:tcPr>
            <w:tcW w:w="990" w:type="dxa"/>
          </w:tcPr>
          <w:p w:rsidR="00222257" w:rsidRPr="00A7761E" w:rsidRDefault="0014391C" w:rsidP="001E10F0">
            <w:pPr>
              <w:tabs>
                <w:tab w:val="left" w:pos="3706"/>
              </w:tabs>
              <w:jc w:val="center"/>
              <w:rPr>
                <w:sz w:val="22"/>
                <w:szCs w:val="22"/>
                <w:lang w:val="lt-LT"/>
              </w:rPr>
            </w:pPr>
            <w:r>
              <w:rPr>
                <w:sz w:val="22"/>
                <w:szCs w:val="22"/>
                <w:lang w:val="lt-LT"/>
              </w:rPr>
              <w:t>12,9</w:t>
            </w:r>
          </w:p>
        </w:tc>
        <w:tc>
          <w:tcPr>
            <w:tcW w:w="1440" w:type="dxa"/>
          </w:tcPr>
          <w:p w:rsidR="00222257" w:rsidRPr="00A7761E" w:rsidRDefault="0014391C" w:rsidP="001E10F0">
            <w:pPr>
              <w:tabs>
                <w:tab w:val="left" w:pos="3706"/>
              </w:tabs>
              <w:jc w:val="center"/>
              <w:rPr>
                <w:sz w:val="22"/>
                <w:szCs w:val="22"/>
                <w:lang w:val="lt-LT"/>
              </w:rPr>
            </w:pPr>
            <w:r>
              <w:rPr>
                <w:sz w:val="22"/>
                <w:szCs w:val="22"/>
                <w:lang w:val="lt-LT"/>
              </w:rPr>
              <w:t>24,1</w:t>
            </w:r>
          </w:p>
        </w:tc>
        <w:tc>
          <w:tcPr>
            <w:tcW w:w="990" w:type="dxa"/>
          </w:tcPr>
          <w:p w:rsidR="00222257" w:rsidRPr="00A7761E" w:rsidRDefault="0014391C" w:rsidP="001E10F0">
            <w:pPr>
              <w:tabs>
                <w:tab w:val="left" w:pos="3706"/>
              </w:tabs>
              <w:jc w:val="center"/>
              <w:rPr>
                <w:sz w:val="22"/>
                <w:szCs w:val="22"/>
                <w:lang w:val="lt-LT"/>
              </w:rPr>
            </w:pPr>
            <w:r>
              <w:rPr>
                <w:sz w:val="22"/>
                <w:szCs w:val="22"/>
                <w:lang w:val="lt-LT"/>
              </w:rPr>
              <w:t>27,1</w:t>
            </w:r>
          </w:p>
        </w:tc>
        <w:tc>
          <w:tcPr>
            <w:tcW w:w="1080" w:type="dxa"/>
          </w:tcPr>
          <w:p w:rsidR="00222257" w:rsidRPr="00A7761E" w:rsidRDefault="0014391C" w:rsidP="001E10F0">
            <w:pPr>
              <w:tabs>
                <w:tab w:val="left" w:pos="3706"/>
              </w:tabs>
              <w:jc w:val="center"/>
              <w:rPr>
                <w:b/>
                <w:sz w:val="22"/>
                <w:szCs w:val="22"/>
                <w:lang w:val="lt-LT"/>
              </w:rPr>
            </w:pPr>
            <w:r>
              <w:rPr>
                <w:b/>
                <w:sz w:val="22"/>
                <w:szCs w:val="22"/>
                <w:lang w:val="lt-LT"/>
              </w:rPr>
              <w:t>22,4</w:t>
            </w:r>
          </w:p>
        </w:tc>
      </w:tr>
      <w:tr w:rsidR="00D5181D" w:rsidRPr="00DA3E74" w:rsidTr="00FD2FC4">
        <w:tc>
          <w:tcPr>
            <w:tcW w:w="4518" w:type="dxa"/>
          </w:tcPr>
          <w:p w:rsidR="00D5181D" w:rsidRPr="0008498A" w:rsidRDefault="00D5181D" w:rsidP="003817CA">
            <w:pPr>
              <w:tabs>
                <w:tab w:val="left" w:pos="3706"/>
              </w:tabs>
              <w:jc w:val="both"/>
              <w:rPr>
                <w:sz w:val="22"/>
                <w:szCs w:val="22"/>
                <w:lang w:val="lt-LT"/>
              </w:rPr>
            </w:pPr>
            <w:r w:rsidRPr="0008498A">
              <w:rPr>
                <w:rFonts w:eastAsia="Calibri"/>
                <w:sz w:val="22"/>
                <w:szCs w:val="22"/>
                <w:lang w:val="lt-LT" w:eastAsia="lt-LT"/>
              </w:rPr>
              <w:t>Turizmo infrastruktūros ir paslaugų plėtra</w:t>
            </w:r>
          </w:p>
        </w:tc>
        <w:tc>
          <w:tcPr>
            <w:tcW w:w="1170" w:type="dxa"/>
          </w:tcPr>
          <w:p w:rsidR="00D5181D" w:rsidRPr="0008498A" w:rsidRDefault="00D5181D" w:rsidP="00D73E9C">
            <w:pPr>
              <w:tabs>
                <w:tab w:val="left" w:pos="3706"/>
              </w:tabs>
              <w:jc w:val="center"/>
              <w:rPr>
                <w:sz w:val="22"/>
                <w:szCs w:val="22"/>
                <w:lang w:val="lt-LT"/>
              </w:rPr>
            </w:pPr>
            <w:r>
              <w:rPr>
                <w:sz w:val="22"/>
                <w:szCs w:val="22"/>
                <w:lang w:val="lt-LT"/>
              </w:rPr>
              <w:t>19,4</w:t>
            </w:r>
          </w:p>
        </w:tc>
        <w:tc>
          <w:tcPr>
            <w:tcW w:w="990" w:type="dxa"/>
          </w:tcPr>
          <w:p w:rsidR="00D5181D" w:rsidRPr="0008498A" w:rsidRDefault="00D5181D" w:rsidP="00D73E9C">
            <w:pPr>
              <w:tabs>
                <w:tab w:val="left" w:pos="3706"/>
              </w:tabs>
              <w:jc w:val="center"/>
              <w:rPr>
                <w:sz w:val="22"/>
                <w:szCs w:val="22"/>
                <w:lang w:val="lt-LT"/>
              </w:rPr>
            </w:pPr>
            <w:r>
              <w:rPr>
                <w:sz w:val="22"/>
                <w:szCs w:val="22"/>
                <w:lang w:val="lt-LT"/>
              </w:rPr>
              <w:t>15,9</w:t>
            </w:r>
          </w:p>
        </w:tc>
        <w:tc>
          <w:tcPr>
            <w:tcW w:w="1440" w:type="dxa"/>
          </w:tcPr>
          <w:p w:rsidR="00D5181D" w:rsidRPr="0008498A" w:rsidRDefault="00D5181D" w:rsidP="00D73E9C">
            <w:pPr>
              <w:tabs>
                <w:tab w:val="left" w:pos="3706"/>
              </w:tabs>
              <w:jc w:val="center"/>
              <w:rPr>
                <w:sz w:val="22"/>
                <w:szCs w:val="22"/>
                <w:lang w:val="lt-LT"/>
              </w:rPr>
            </w:pPr>
            <w:r>
              <w:rPr>
                <w:sz w:val="22"/>
                <w:szCs w:val="22"/>
                <w:lang w:val="lt-LT"/>
              </w:rPr>
              <w:t>22,9</w:t>
            </w:r>
          </w:p>
        </w:tc>
        <w:tc>
          <w:tcPr>
            <w:tcW w:w="990" w:type="dxa"/>
          </w:tcPr>
          <w:p w:rsidR="00D5181D" w:rsidRPr="0008498A" w:rsidRDefault="00D5181D" w:rsidP="00D73E9C">
            <w:pPr>
              <w:tabs>
                <w:tab w:val="left" w:pos="3706"/>
              </w:tabs>
              <w:jc w:val="center"/>
              <w:rPr>
                <w:sz w:val="22"/>
                <w:szCs w:val="22"/>
                <w:lang w:val="lt-LT"/>
              </w:rPr>
            </w:pPr>
            <w:r>
              <w:rPr>
                <w:sz w:val="22"/>
                <w:szCs w:val="22"/>
                <w:lang w:val="lt-LT"/>
              </w:rPr>
              <w:t>19,4</w:t>
            </w:r>
          </w:p>
        </w:tc>
        <w:tc>
          <w:tcPr>
            <w:tcW w:w="1080" w:type="dxa"/>
          </w:tcPr>
          <w:p w:rsidR="00D5181D" w:rsidRPr="0008498A" w:rsidRDefault="00D5181D" w:rsidP="00D73E9C">
            <w:pPr>
              <w:tabs>
                <w:tab w:val="left" w:pos="3706"/>
              </w:tabs>
              <w:jc w:val="center"/>
              <w:rPr>
                <w:b/>
                <w:sz w:val="22"/>
                <w:szCs w:val="22"/>
                <w:lang w:val="lt-LT"/>
              </w:rPr>
            </w:pPr>
            <w:r>
              <w:rPr>
                <w:b/>
                <w:sz w:val="22"/>
                <w:szCs w:val="22"/>
                <w:lang w:val="lt-LT"/>
              </w:rPr>
              <w:t>22,4</w:t>
            </w:r>
          </w:p>
        </w:tc>
      </w:tr>
      <w:tr w:rsidR="00535667" w:rsidRPr="00DA3E74" w:rsidTr="00EA46AA">
        <w:tc>
          <w:tcPr>
            <w:tcW w:w="4518" w:type="dxa"/>
            <w:vAlign w:val="center"/>
          </w:tcPr>
          <w:p w:rsidR="00535667" w:rsidRPr="005B7802" w:rsidRDefault="00535667" w:rsidP="003817CA">
            <w:pPr>
              <w:spacing w:line="206" w:lineRule="atLeast"/>
              <w:jc w:val="both"/>
              <w:rPr>
                <w:rFonts w:eastAsia="Calibri"/>
                <w:sz w:val="22"/>
                <w:szCs w:val="22"/>
                <w:lang w:val="lt-LT"/>
              </w:rPr>
            </w:pPr>
            <w:r w:rsidRPr="005B7802">
              <w:rPr>
                <w:rFonts w:eastAsia="Calibri"/>
                <w:sz w:val="22"/>
                <w:szCs w:val="22"/>
                <w:lang w:val="lt-LT" w:eastAsia="lt-LT"/>
              </w:rPr>
              <w:t>Biologinės įvairovės atkūrimas, išsaugojimas ir didinimas, be kita ko, „Natura 2000“ teritorijose</w:t>
            </w:r>
          </w:p>
        </w:tc>
        <w:tc>
          <w:tcPr>
            <w:tcW w:w="1170" w:type="dxa"/>
          </w:tcPr>
          <w:p w:rsidR="00535667" w:rsidRPr="005B7802" w:rsidRDefault="0014391C" w:rsidP="00450B43">
            <w:pPr>
              <w:tabs>
                <w:tab w:val="left" w:pos="3706"/>
              </w:tabs>
              <w:jc w:val="center"/>
              <w:rPr>
                <w:sz w:val="22"/>
                <w:szCs w:val="22"/>
                <w:lang w:val="lt-LT"/>
              </w:rPr>
            </w:pPr>
            <w:r>
              <w:rPr>
                <w:sz w:val="22"/>
                <w:szCs w:val="22"/>
                <w:lang w:val="lt-LT"/>
              </w:rPr>
              <w:t>16,5</w:t>
            </w:r>
          </w:p>
        </w:tc>
        <w:tc>
          <w:tcPr>
            <w:tcW w:w="990" w:type="dxa"/>
          </w:tcPr>
          <w:p w:rsidR="00535667" w:rsidRPr="005B7802" w:rsidRDefault="0014391C" w:rsidP="00450B43">
            <w:pPr>
              <w:tabs>
                <w:tab w:val="left" w:pos="3706"/>
              </w:tabs>
              <w:jc w:val="center"/>
              <w:rPr>
                <w:sz w:val="22"/>
                <w:szCs w:val="22"/>
                <w:lang w:val="lt-LT"/>
              </w:rPr>
            </w:pPr>
            <w:r>
              <w:rPr>
                <w:sz w:val="22"/>
                <w:szCs w:val="22"/>
                <w:lang w:val="lt-LT"/>
              </w:rPr>
              <w:t>12,4</w:t>
            </w:r>
          </w:p>
        </w:tc>
        <w:tc>
          <w:tcPr>
            <w:tcW w:w="1440" w:type="dxa"/>
          </w:tcPr>
          <w:p w:rsidR="00535667" w:rsidRPr="005B7802" w:rsidRDefault="0014391C" w:rsidP="00450B43">
            <w:pPr>
              <w:tabs>
                <w:tab w:val="left" w:pos="3706"/>
              </w:tabs>
              <w:jc w:val="center"/>
              <w:rPr>
                <w:sz w:val="22"/>
                <w:szCs w:val="22"/>
                <w:lang w:val="lt-LT"/>
              </w:rPr>
            </w:pPr>
            <w:r>
              <w:rPr>
                <w:sz w:val="22"/>
                <w:szCs w:val="22"/>
                <w:lang w:val="lt-LT"/>
              </w:rPr>
              <w:t>25,3</w:t>
            </w:r>
          </w:p>
        </w:tc>
        <w:tc>
          <w:tcPr>
            <w:tcW w:w="990" w:type="dxa"/>
          </w:tcPr>
          <w:p w:rsidR="00535667" w:rsidRPr="005B7802" w:rsidRDefault="0014391C" w:rsidP="00450B43">
            <w:pPr>
              <w:tabs>
                <w:tab w:val="left" w:pos="3706"/>
              </w:tabs>
              <w:jc w:val="center"/>
              <w:rPr>
                <w:sz w:val="22"/>
                <w:szCs w:val="22"/>
                <w:lang w:val="lt-LT"/>
              </w:rPr>
            </w:pPr>
            <w:r>
              <w:rPr>
                <w:sz w:val="22"/>
                <w:szCs w:val="22"/>
                <w:lang w:val="lt-LT"/>
              </w:rPr>
              <w:t>24,7</w:t>
            </w:r>
          </w:p>
        </w:tc>
        <w:tc>
          <w:tcPr>
            <w:tcW w:w="1080" w:type="dxa"/>
          </w:tcPr>
          <w:p w:rsidR="00535667" w:rsidRPr="005B7802" w:rsidRDefault="0014391C" w:rsidP="00450B43">
            <w:pPr>
              <w:tabs>
                <w:tab w:val="left" w:pos="3706"/>
              </w:tabs>
              <w:jc w:val="center"/>
              <w:rPr>
                <w:b/>
                <w:sz w:val="22"/>
                <w:szCs w:val="22"/>
                <w:lang w:val="lt-LT"/>
              </w:rPr>
            </w:pPr>
            <w:r>
              <w:rPr>
                <w:b/>
                <w:sz w:val="22"/>
                <w:szCs w:val="22"/>
                <w:lang w:val="lt-LT"/>
              </w:rPr>
              <w:t>20,6</w:t>
            </w:r>
          </w:p>
        </w:tc>
      </w:tr>
    </w:tbl>
    <w:p w:rsidR="007755D8" w:rsidRDefault="007755D8" w:rsidP="00146F2E">
      <w:pPr>
        <w:tabs>
          <w:tab w:val="left" w:pos="3706"/>
        </w:tabs>
        <w:jc w:val="center"/>
        <w:rPr>
          <w:lang w:val="lt-LT"/>
        </w:rPr>
      </w:pPr>
    </w:p>
    <w:p w:rsidR="008B6770" w:rsidRDefault="008B6770" w:rsidP="00146F2E">
      <w:pPr>
        <w:tabs>
          <w:tab w:val="left" w:pos="3706"/>
        </w:tabs>
        <w:jc w:val="center"/>
        <w:rPr>
          <w:lang w:val="lt-LT"/>
        </w:rPr>
      </w:pPr>
    </w:p>
    <w:p w:rsidR="00D32E7A" w:rsidRDefault="00EA5B99" w:rsidP="00EA5B99">
      <w:pPr>
        <w:tabs>
          <w:tab w:val="left" w:pos="3706"/>
        </w:tabs>
        <w:spacing w:after="0"/>
        <w:ind w:firstLine="720"/>
        <w:jc w:val="both"/>
        <w:rPr>
          <w:lang w:val="lt-LT"/>
        </w:rPr>
      </w:pPr>
      <w:r>
        <w:rPr>
          <w:lang w:val="lt-LT"/>
        </w:rPr>
        <w:t>Siekiant išsiaiškinti, kokių paslaugų labiausiai trūksta rajono gyventojams, respondentų buvo paprašyta prie išvardintų paslaugų nurodyti „Taip, trūksta“ ir „Ne, netrūksta“. Dauguma, net 75,9 proc., apklaustųjų nurodė, kad trūksta vyresnio amžiaus asmenų ir sunkių ligonių priežiūros paslaugų, 68,8 proc. respondentų jaučia specialiųjų paslaugų sodyboms ir buitinių paslaugų trūkumą savo rajone. Kiek daugiau nei pusė apklaustųjų nurodė, kad rajone trūksta transporto paslaugų (61,8 proc.) ir nesudėtingų pastatų remonto paslaugas (57,1 proc.) teikiančių įmonių ar asmenų.</w:t>
      </w:r>
    </w:p>
    <w:p w:rsidR="00EA5B99" w:rsidRDefault="00EA5B99" w:rsidP="00EA5B99">
      <w:pPr>
        <w:tabs>
          <w:tab w:val="left" w:pos="3706"/>
        </w:tabs>
        <w:spacing w:after="0"/>
        <w:ind w:firstLine="720"/>
        <w:jc w:val="both"/>
        <w:rPr>
          <w:lang w:val="lt-LT"/>
        </w:rPr>
      </w:pPr>
    </w:p>
    <w:p w:rsidR="005414CE" w:rsidRDefault="00495DAD" w:rsidP="00EA5B99">
      <w:pPr>
        <w:tabs>
          <w:tab w:val="left" w:pos="3706"/>
        </w:tabs>
        <w:spacing w:after="0"/>
        <w:jc w:val="center"/>
        <w:rPr>
          <w:lang w:val="lt-LT"/>
        </w:rPr>
      </w:pPr>
      <w:r>
        <w:rPr>
          <w:noProof/>
          <w:lang w:val="lt-LT" w:eastAsia="lt-LT"/>
        </w:rPr>
        <w:drawing>
          <wp:inline distT="0" distB="0" distL="0" distR="0">
            <wp:extent cx="6000750" cy="360045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5B99" w:rsidRDefault="00EA5B99" w:rsidP="00EA5B99">
      <w:pPr>
        <w:tabs>
          <w:tab w:val="left" w:pos="3706"/>
        </w:tabs>
        <w:spacing w:after="0"/>
        <w:ind w:firstLine="720"/>
        <w:jc w:val="both"/>
        <w:rPr>
          <w:lang w:val="lt-LT"/>
        </w:rPr>
      </w:pPr>
    </w:p>
    <w:p w:rsidR="001C2C81" w:rsidRDefault="00EA5B99" w:rsidP="00EA5B99">
      <w:pPr>
        <w:tabs>
          <w:tab w:val="left" w:pos="3706"/>
        </w:tabs>
        <w:spacing w:after="0"/>
        <w:ind w:firstLine="720"/>
        <w:jc w:val="both"/>
        <w:rPr>
          <w:lang w:val="lt-LT"/>
        </w:rPr>
      </w:pPr>
      <w:r>
        <w:rPr>
          <w:lang w:val="lt-LT"/>
        </w:rPr>
        <w:lastRenderedPageBreak/>
        <w:t>Atsižvelgiant į respondentų išskirtas labiausiai trūkstamas paslaugas rajone, jų buvo paklausta, ar pirktų šias paslaugas, jeigu jos būtų pradėtos teikti jų gyvenamojoje vietovėje. Net 91,8 proc. jų nurodė, kad pirktų ir tik 7,1 proc., kad nepirktų.</w:t>
      </w:r>
    </w:p>
    <w:p w:rsidR="00EA5B99" w:rsidRDefault="00EA5B99" w:rsidP="00EA5B99">
      <w:pPr>
        <w:tabs>
          <w:tab w:val="left" w:pos="3706"/>
        </w:tabs>
        <w:spacing w:after="0"/>
        <w:ind w:firstLine="720"/>
        <w:jc w:val="both"/>
        <w:rPr>
          <w:lang w:val="lt-LT"/>
        </w:rPr>
      </w:pPr>
    </w:p>
    <w:p w:rsidR="001C2C81" w:rsidRDefault="001C2C81" w:rsidP="001C2C81">
      <w:pPr>
        <w:tabs>
          <w:tab w:val="left" w:pos="3706"/>
        </w:tabs>
        <w:jc w:val="center"/>
        <w:rPr>
          <w:b/>
          <w:lang w:val="lt-LT"/>
        </w:rPr>
      </w:pPr>
      <w:r>
        <w:rPr>
          <w:b/>
          <w:noProof/>
          <w:lang w:val="lt-LT" w:eastAsia="lt-LT"/>
        </w:rPr>
        <w:drawing>
          <wp:inline distT="0" distB="0" distL="0" distR="0">
            <wp:extent cx="4705350" cy="253365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0FFE" w:rsidRDefault="00045487" w:rsidP="00045487">
      <w:pPr>
        <w:tabs>
          <w:tab w:val="left" w:pos="3706"/>
        </w:tabs>
        <w:spacing w:after="0"/>
        <w:ind w:firstLine="720"/>
        <w:jc w:val="both"/>
        <w:rPr>
          <w:bCs w:val="0"/>
          <w:color w:val="000000"/>
          <w:lang w:val="lt-LT"/>
        </w:rPr>
      </w:pPr>
      <w:r w:rsidRPr="00DA2E6A">
        <w:rPr>
          <w:rFonts w:eastAsia="Calibri"/>
          <w:bCs w:val="0"/>
          <w:color w:val="000000"/>
          <w:lang w:val="lt-LT"/>
        </w:rPr>
        <w:t>Rajono kaimo bendruomenės vykdo ne tik visuo</w:t>
      </w:r>
      <w:r>
        <w:rPr>
          <w:bCs w:val="0"/>
          <w:color w:val="000000"/>
          <w:lang w:val="lt-LT"/>
        </w:rPr>
        <w:t xml:space="preserve">meninę, kultūrinę, švietėjišką </w:t>
      </w:r>
      <w:r w:rsidRPr="00DA2E6A">
        <w:rPr>
          <w:rFonts w:eastAsia="Calibri"/>
          <w:bCs w:val="0"/>
          <w:color w:val="000000"/>
          <w:lang w:val="lt-LT"/>
        </w:rPr>
        <w:t xml:space="preserve">veiklą, bet turi galimybę planuoti ir  ūkinę veiklą, kuri leistu gauti pajamas. </w:t>
      </w:r>
      <w:r>
        <w:rPr>
          <w:bCs w:val="0"/>
          <w:color w:val="000000"/>
          <w:lang w:val="lt-LT"/>
        </w:rPr>
        <w:t>Respondentų buvo paklausta, kaip mano</w:t>
      </w:r>
      <w:r w:rsidRPr="00DA2E6A">
        <w:rPr>
          <w:rFonts w:eastAsia="Calibri"/>
          <w:bCs w:val="0"/>
          <w:color w:val="000000"/>
          <w:lang w:val="lt-LT"/>
        </w:rPr>
        <w:t xml:space="preserve">, kokios </w:t>
      </w:r>
      <w:r>
        <w:rPr>
          <w:bCs w:val="0"/>
          <w:color w:val="000000"/>
          <w:lang w:val="lt-LT"/>
        </w:rPr>
        <w:t xml:space="preserve">ekonominės veiklos galėtų imtis jų </w:t>
      </w:r>
      <w:r w:rsidRPr="00DA2E6A">
        <w:rPr>
          <w:rFonts w:eastAsia="Calibri"/>
          <w:bCs w:val="0"/>
          <w:color w:val="000000"/>
          <w:lang w:val="lt-LT"/>
        </w:rPr>
        <w:t>kaimo bendruomenė, jei tokios veiklos pradžiai būtų skirta Europos Sąjungos parama</w:t>
      </w:r>
      <w:r>
        <w:rPr>
          <w:bCs w:val="0"/>
          <w:color w:val="000000"/>
          <w:lang w:val="lt-LT"/>
        </w:rPr>
        <w:t>. Daugiau nei trečdalis apklaustųjų nurodė, kad tai galėtų būti amatininkų gaminių bei suvenyrų gamyba ir realizavimas (35,9 proc.), taip pat ūkininkų produkcijos realizavimas (34,1 proc.) bei kulinarinio paveldo produktų gamyba ir pardavimas (32,4 proc.). Ketviratadalio respondentų nuomone bendruomenės galėtų imtis ekonominės veiklos susijusios su įvairių paslaugų vietos gyventojams teikimu (25,3 proc.)</w:t>
      </w:r>
    </w:p>
    <w:p w:rsidR="00045487" w:rsidRPr="00045487" w:rsidRDefault="00045487" w:rsidP="00045487">
      <w:pPr>
        <w:tabs>
          <w:tab w:val="left" w:pos="3706"/>
        </w:tabs>
        <w:spacing w:after="0"/>
        <w:ind w:firstLine="720"/>
        <w:jc w:val="both"/>
        <w:rPr>
          <w:bCs w:val="0"/>
          <w:color w:val="000000"/>
          <w:lang w:val="lt-LT"/>
        </w:rPr>
      </w:pPr>
    </w:p>
    <w:p w:rsidR="0077497D" w:rsidRDefault="0077497D" w:rsidP="00045487">
      <w:pPr>
        <w:tabs>
          <w:tab w:val="left" w:pos="3706"/>
        </w:tabs>
        <w:spacing w:after="0"/>
        <w:jc w:val="center"/>
        <w:rPr>
          <w:b/>
          <w:lang w:val="lt-LT"/>
        </w:rPr>
      </w:pPr>
      <w:r>
        <w:rPr>
          <w:b/>
          <w:noProof/>
          <w:lang w:val="lt-LT" w:eastAsia="lt-LT"/>
        </w:rPr>
        <w:drawing>
          <wp:inline distT="0" distB="0" distL="0" distR="0">
            <wp:extent cx="5391150" cy="34671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1E92" w:rsidRDefault="00481E92" w:rsidP="00045487">
      <w:pPr>
        <w:tabs>
          <w:tab w:val="left" w:pos="284"/>
        </w:tabs>
        <w:suppressAutoHyphens/>
        <w:spacing w:after="0" w:line="240" w:lineRule="auto"/>
        <w:jc w:val="center"/>
        <w:rPr>
          <w:b/>
          <w:bCs w:val="0"/>
          <w:color w:val="000000"/>
          <w:lang w:val="lt-LT"/>
        </w:rPr>
      </w:pPr>
    </w:p>
    <w:p w:rsidR="00481E92" w:rsidRDefault="00045487" w:rsidP="00045487">
      <w:pPr>
        <w:tabs>
          <w:tab w:val="left" w:pos="284"/>
        </w:tabs>
        <w:suppressAutoHyphens/>
        <w:spacing w:after="0"/>
        <w:ind w:firstLine="720"/>
        <w:jc w:val="both"/>
        <w:rPr>
          <w:bCs w:val="0"/>
          <w:color w:val="000000"/>
          <w:lang w:val="lt-LT"/>
        </w:rPr>
      </w:pPr>
      <w:r w:rsidRPr="007A0C2F">
        <w:rPr>
          <w:rFonts w:eastAsia="Calibri"/>
          <w:bCs w:val="0"/>
          <w:color w:val="000000"/>
          <w:lang w:val="lt-LT"/>
        </w:rPr>
        <w:t xml:space="preserve">Siekiant išsiaiškinti respondentų nuomonę apie bendruomeninį verslą, jų buvo paklausta ar </w:t>
      </w:r>
      <w:r>
        <w:rPr>
          <w:bCs w:val="0"/>
          <w:color w:val="000000"/>
          <w:lang w:val="lt-LT"/>
        </w:rPr>
        <w:t>jie</w:t>
      </w:r>
      <w:r w:rsidRPr="007A0C2F">
        <w:rPr>
          <w:rFonts w:eastAsia="Calibri"/>
          <w:bCs w:val="0"/>
          <w:color w:val="000000"/>
          <w:lang w:val="lt-LT"/>
        </w:rPr>
        <w:t xml:space="preserve"> būtu linkę imtis bendruomeninio verslo iniciatyvų ir įgyvendinti bendruomenin</w:t>
      </w:r>
      <w:r>
        <w:rPr>
          <w:bCs w:val="0"/>
          <w:color w:val="000000"/>
          <w:lang w:val="lt-LT"/>
        </w:rPr>
        <w:t>į verslą skatinančius projektus. 41,8 proc. atsakė, kad „Taip, būtų įdomu“, 24,7 proc. rinkosi atsakymą „Nežinau“, 16,5 proc. respondentų jau šiuo momentu svarsto apie tokių projektų galimybę ir 15,3 proc. respondentų tokių projektų neplanuoja.</w:t>
      </w:r>
    </w:p>
    <w:p w:rsidR="00045487" w:rsidRPr="00045487" w:rsidRDefault="00045487" w:rsidP="00045487">
      <w:pPr>
        <w:tabs>
          <w:tab w:val="left" w:pos="284"/>
        </w:tabs>
        <w:suppressAutoHyphens/>
        <w:spacing w:after="0"/>
        <w:ind w:firstLine="720"/>
        <w:jc w:val="both"/>
        <w:rPr>
          <w:bCs w:val="0"/>
          <w:color w:val="000000"/>
          <w:lang w:val="lt-LT"/>
        </w:rPr>
      </w:pPr>
    </w:p>
    <w:p w:rsidR="00E00FFE" w:rsidRDefault="00481E92" w:rsidP="00045487">
      <w:pPr>
        <w:tabs>
          <w:tab w:val="left" w:pos="3706"/>
        </w:tabs>
        <w:jc w:val="center"/>
        <w:rPr>
          <w:b/>
          <w:lang w:val="lt-LT"/>
        </w:rPr>
      </w:pPr>
      <w:r>
        <w:rPr>
          <w:b/>
          <w:noProof/>
          <w:lang w:val="lt-LT" w:eastAsia="lt-LT"/>
        </w:rPr>
        <w:drawing>
          <wp:inline distT="0" distB="0" distL="0" distR="0">
            <wp:extent cx="5067300" cy="189547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1E92" w:rsidRDefault="00A47845" w:rsidP="00A47845">
      <w:pPr>
        <w:tabs>
          <w:tab w:val="left" w:pos="3706"/>
        </w:tabs>
        <w:spacing w:after="0"/>
        <w:ind w:firstLine="720"/>
        <w:jc w:val="both"/>
        <w:rPr>
          <w:rFonts w:eastAsia="Calibri"/>
          <w:b/>
          <w:bCs w:val="0"/>
          <w:color w:val="000000"/>
          <w:lang w:val="lt-LT"/>
        </w:rPr>
      </w:pPr>
      <w:r>
        <w:rPr>
          <w:bCs w:val="0"/>
          <w:color w:val="000000"/>
          <w:lang w:val="lt-LT"/>
        </w:rPr>
        <w:t>Norint išsiaiškinti problemas, kurios trukdo bendruomenei organizuoti savo verslą ir/arba teikti savo nariams būtiniausias paslaugas respondentų buvo paprašyta pasirinkti kelias galimas problemas iš pateiktų. Daugiau negu pusė respondentų, 60,6 proc., kaip pagrindinę problemą išskyrė tai, jog bendruomenė neturi kapitalo ūkinei veiklai vykdyti. 37,1 proc. respondentų mano, kad bendruomenėje daugelis nenori rizikuoti ir vengia atsakomybės, net 32,9 proc. apklaustųjų</w:t>
      </w:r>
      <w:r w:rsidR="00C02306">
        <w:rPr>
          <w:bCs w:val="0"/>
          <w:color w:val="000000"/>
          <w:lang w:val="lt-LT"/>
        </w:rPr>
        <w:t xml:space="preserve"> </w:t>
      </w:r>
      <w:r>
        <w:rPr>
          <w:bCs w:val="0"/>
          <w:color w:val="000000"/>
          <w:lang w:val="lt-LT"/>
        </w:rPr>
        <w:t>mano, kad trūksta gerų idėjų, o 30 proc. kaip problemą nurodo tai, jog bendruomeninė organizacija yra per silpna organizaciniu požiūriu, kad galėtų sėkmingai imtis ūkinės veiklos. Ketvirtadalis, 25,9 proc., respondentų nurodo, kad trūksta palaikymo iš šalies, niekas iš valdžios atstovų su bendruomenėmis apie tai nešneka.</w:t>
      </w:r>
      <w:r w:rsidRPr="0064662D">
        <w:rPr>
          <w:rFonts w:eastAsia="Calibri"/>
          <w:b/>
          <w:bCs w:val="0"/>
          <w:color w:val="000000"/>
          <w:lang w:val="lt-LT"/>
        </w:rPr>
        <w:t xml:space="preserve"> </w:t>
      </w:r>
    </w:p>
    <w:p w:rsidR="00A47845" w:rsidRPr="005A7E53" w:rsidRDefault="00A47845" w:rsidP="00A47845">
      <w:pPr>
        <w:tabs>
          <w:tab w:val="left" w:pos="3706"/>
        </w:tabs>
        <w:spacing w:after="0"/>
        <w:ind w:firstLine="720"/>
        <w:jc w:val="both"/>
        <w:rPr>
          <w:rFonts w:eastAsia="Calibri"/>
          <w:b/>
          <w:bCs w:val="0"/>
          <w:color w:val="000000"/>
          <w:sz w:val="20"/>
          <w:szCs w:val="20"/>
          <w:lang w:val="lt-LT"/>
        </w:rPr>
      </w:pPr>
    </w:p>
    <w:p w:rsidR="00732119" w:rsidRDefault="0040796E" w:rsidP="00A47845">
      <w:pPr>
        <w:tabs>
          <w:tab w:val="left" w:pos="3706"/>
        </w:tabs>
        <w:jc w:val="center"/>
        <w:rPr>
          <w:lang w:val="lt-LT"/>
        </w:rPr>
      </w:pPr>
      <w:r>
        <w:rPr>
          <w:noProof/>
          <w:lang w:val="lt-LT" w:eastAsia="lt-LT"/>
        </w:rPr>
        <w:drawing>
          <wp:inline distT="0" distB="0" distL="0" distR="0">
            <wp:extent cx="6115050" cy="332422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7E53" w:rsidRDefault="00A47845" w:rsidP="005A7E53">
      <w:pPr>
        <w:tabs>
          <w:tab w:val="left" w:pos="3706"/>
        </w:tabs>
        <w:spacing w:after="0"/>
        <w:ind w:firstLine="720"/>
        <w:jc w:val="both"/>
        <w:rPr>
          <w:bCs w:val="0"/>
          <w:color w:val="000000"/>
          <w:lang w:val="lt-LT"/>
        </w:rPr>
      </w:pPr>
      <w:r>
        <w:rPr>
          <w:bCs w:val="0"/>
          <w:color w:val="000000"/>
          <w:lang w:val="lt-LT"/>
        </w:rPr>
        <w:lastRenderedPageBreak/>
        <w:t>Respondentų buvo pasiteirauta ar jie arba jų šeimos nariai prisidėtų savanorišku darbu, j</w:t>
      </w:r>
      <w:r w:rsidRPr="00AD3A2B">
        <w:rPr>
          <w:rFonts w:eastAsia="Calibri"/>
          <w:bCs w:val="0"/>
          <w:color w:val="000000"/>
          <w:lang w:val="lt-LT"/>
        </w:rPr>
        <w:t>ei kaimo bendruomenė arba kita kuri nors nevyriausybinė organizacija organizuotų vietos gyventojams trūkstamas paslaugas</w:t>
      </w:r>
      <w:r>
        <w:rPr>
          <w:bCs w:val="0"/>
          <w:color w:val="000000"/>
          <w:lang w:val="lt-LT"/>
        </w:rPr>
        <w:t>. 83,5 proc. atsakė, kad „Taip“, o 14,7 proc. – „Ne“.</w:t>
      </w:r>
    </w:p>
    <w:p w:rsidR="002D463A" w:rsidRDefault="002D463A" w:rsidP="005A7E53">
      <w:pPr>
        <w:tabs>
          <w:tab w:val="left" w:pos="3706"/>
        </w:tabs>
        <w:spacing w:after="0"/>
        <w:ind w:firstLine="720"/>
        <w:jc w:val="both"/>
        <w:rPr>
          <w:bCs w:val="0"/>
          <w:color w:val="000000"/>
          <w:lang w:val="lt-LT"/>
        </w:rPr>
      </w:pPr>
    </w:p>
    <w:p w:rsidR="005E2339" w:rsidRDefault="005E2339" w:rsidP="005A7E53">
      <w:pPr>
        <w:tabs>
          <w:tab w:val="left" w:pos="3706"/>
        </w:tabs>
        <w:spacing w:after="0"/>
        <w:jc w:val="center"/>
        <w:rPr>
          <w:b/>
          <w:lang w:val="lt-LT"/>
        </w:rPr>
      </w:pPr>
      <w:r>
        <w:rPr>
          <w:b/>
          <w:noProof/>
          <w:lang w:val="lt-LT" w:eastAsia="lt-LT"/>
        </w:rPr>
        <w:drawing>
          <wp:inline distT="0" distB="0" distL="0" distR="0">
            <wp:extent cx="4343400" cy="22479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40AF" w:rsidRDefault="00A47845" w:rsidP="005A7E53">
      <w:pPr>
        <w:tabs>
          <w:tab w:val="left" w:pos="3706"/>
        </w:tabs>
        <w:spacing w:after="0"/>
        <w:ind w:firstLine="720"/>
        <w:jc w:val="both"/>
        <w:rPr>
          <w:lang w:val="lt-LT"/>
        </w:rPr>
      </w:pPr>
      <w:r w:rsidRPr="00FC0238">
        <w:rPr>
          <w:lang w:val="lt-LT"/>
        </w:rPr>
        <w:t xml:space="preserve">Taip pat respondentų buvo paklausta ar </w:t>
      </w:r>
      <w:r w:rsidRPr="00FC0238">
        <w:rPr>
          <w:bCs w:val="0"/>
          <w:color w:val="000000"/>
          <w:lang w:val="lt-LT"/>
        </w:rPr>
        <w:t>jie</w:t>
      </w:r>
      <w:r w:rsidRPr="00FC0238">
        <w:rPr>
          <w:rFonts w:eastAsia="Calibri"/>
          <w:bCs w:val="0"/>
          <w:color w:val="000000"/>
          <w:lang w:val="lt-LT"/>
        </w:rPr>
        <w:t xml:space="preserve"> pat</w:t>
      </w:r>
      <w:r w:rsidRPr="00FC0238">
        <w:rPr>
          <w:bCs w:val="0"/>
          <w:color w:val="000000"/>
          <w:lang w:val="lt-LT"/>
        </w:rPr>
        <w:t>y</w:t>
      </w:r>
      <w:r w:rsidRPr="00FC0238">
        <w:rPr>
          <w:rFonts w:eastAsia="Calibri"/>
          <w:bCs w:val="0"/>
          <w:color w:val="000000"/>
          <w:lang w:val="lt-LT"/>
        </w:rPr>
        <w:t>s imtu</w:t>
      </w:r>
      <w:r w:rsidRPr="00FC0238">
        <w:rPr>
          <w:bCs w:val="0"/>
          <w:color w:val="000000"/>
          <w:lang w:val="lt-LT"/>
        </w:rPr>
        <w:t>si</w:t>
      </w:r>
      <w:r w:rsidRPr="00FC0238">
        <w:rPr>
          <w:rFonts w:eastAsia="Calibri"/>
          <w:bCs w:val="0"/>
          <w:color w:val="000000"/>
          <w:lang w:val="lt-LT"/>
        </w:rPr>
        <w:t xml:space="preserve"> smulkaus verslo, jei jo pradžiai būtų suteikta ES parama</w:t>
      </w:r>
      <w:r>
        <w:rPr>
          <w:bCs w:val="0"/>
          <w:color w:val="000000"/>
          <w:lang w:val="lt-LT"/>
        </w:rPr>
        <w:t>.</w:t>
      </w:r>
      <w:r>
        <w:rPr>
          <w:lang w:val="lt-LT"/>
        </w:rPr>
        <w:t xml:space="preserve"> Daugiau negu pusė, 57,6 proc., respondentų atsakė, kad nesiimtų ir tik 40,6 proc., kad imtusi.</w:t>
      </w:r>
    </w:p>
    <w:p w:rsidR="00A47845" w:rsidRPr="00A47845" w:rsidRDefault="00A47845" w:rsidP="005A7E53">
      <w:pPr>
        <w:tabs>
          <w:tab w:val="left" w:pos="3706"/>
        </w:tabs>
        <w:spacing w:after="0"/>
        <w:ind w:firstLine="720"/>
        <w:jc w:val="both"/>
        <w:rPr>
          <w:lang w:val="lt-LT"/>
        </w:rPr>
      </w:pPr>
    </w:p>
    <w:p w:rsidR="00E640AF" w:rsidRDefault="00E640AF" w:rsidP="00A47845">
      <w:pPr>
        <w:tabs>
          <w:tab w:val="left" w:pos="3706"/>
        </w:tabs>
        <w:spacing w:after="0"/>
        <w:jc w:val="center"/>
        <w:rPr>
          <w:b/>
          <w:lang w:val="lt-LT"/>
        </w:rPr>
      </w:pPr>
      <w:r>
        <w:rPr>
          <w:b/>
          <w:noProof/>
          <w:lang w:val="lt-LT" w:eastAsia="lt-LT"/>
        </w:rPr>
        <w:drawing>
          <wp:inline distT="0" distB="0" distL="0" distR="0">
            <wp:extent cx="4343400" cy="214312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40AF" w:rsidRDefault="00E640AF" w:rsidP="00A47845">
      <w:pPr>
        <w:tabs>
          <w:tab w:val="left" w:pos="3706"/>
        </w:tabs>
        <w:spacing w:after="0"/>
        <w:jc w:val="center"/>
        <w:rPr>
          <w:b/>
          <w:lang w:val="lt-LT"/>
        </w:rPr>
      </w:pPr>
    </w:p>
    <w:p w:rsidR="002629ED" w:rsidRPr="00A47845" w:rsidRDefault="00A47845" w:rsidP="00A47845">
      <w:pPr>
        <w:tabs>
          <w:tab w:val="left" w:pos="3706"/>
        </w:tabs>
        <w:spacing w:after="0"/>
        <w:ind w:firstLine="720"/>
        <w:jc w:val="both"/>
        <w:rPr>
          <w:lang w:val="lt-LT"/>
        </w:rPr>
      </w:pPr>
      <w:r>
        <w:rPr>
          <w:lang w:val="lt-LT"/>
        </w:rPr>
        <w:t>Siekiant aktyvinti kaimo jaunimą, respondentų buvo paprašyta išrinkti konkrečias priemones, kurios pagerintų kaimo jaunimo (iki 29 m.) situaciją. Daugiau negu pusė respondentų kaip svarbiausias priemones nurodė tai, jog turi būti finansuojamos jaunimo verslo iniciatyvos (54,7 proc.) ir didinamos laisvalaikio galimybės (52,4 proc.). Daugiau negu trečdalis apklaustųjų</w:t>
      </w:r>
      <w:r w:rsidR="004B1605">
        <w:rPr>
          <w:lang w:val="lt-LT"/>
        </w:rPr>
        <w:t xml:space="preserve"> </w:t>
      </w:r>
      <w:r>
        <w:rPr>
          <w:lang w:val="lt-LT"/>
        </w:rPr>
        <w:t>mano, kad bendruomenė turėtų įtraukti jaunimą į savo veiklą (37,6 proc.) bei turėtų būti sudarytos galimybės jauniems žmonėms dirbti (36,5 proc.)</w:t>
      </w:r>
    </w:p>
    <w:p w:rsidR="002629ED" w:rsidRPr="004900A1" w:rsidRDefault="002629ED" w:rsidP="004900A1">
      <w:pPr>
        <w:tabs>
          <w:tab w:val="left" w:pos="3706"/>
        </w:tabs>
        <w:jc w:val="center"/>
        <w:rPr>
          <w:b/>
          <w:lang w:val="lt-LT"/>
        </w:rPr>
      </w:pPr>
    </w:p>
    <w:p w:rsidR="00354B3A" w:rsidRDefault="004900A1" w:rsidP="00A47845">
      <w:pPr>
        <w:tabs>
          <w:tab w:val="left" w:pos="3706"/>
        </w:tabs>
        <w:jc w:val="center"/>
        <w:rPr>
          <w:b/>
          <w:lang w:val="lt-LT"/>
        </w:rPr>
      </w:pPr>
      <w:r>
        <w:rPr>
          <w:b/>
          <w:noProof/>
          <w:lang w:val="lt-LT" w:eastAsia="lt-LT"/>
        </w:rPr>
        <w:lastRenderedPageBreak/>
        <w:drawing>
          <wp:inline distT="0" distB="0" distL="0" distR="0">
            <wp:extent cx="5734050" cy="344805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405D" w:rsidRPr="005E2339" w:rsidRDefault="003B405D" w:rsidP="004900A1">
      <w:pPr>
        <w:tabs>
          <w:tab w:val="left" w:pos="3706"/>
        </w:tabs>
        <w:jc w:val="both"/>
        <w:rPr>
          <w:b/>
          <w:lang w:val="lt-LT"/>
        </w:rPr>
      </w:pPr>
    </w:p>
    <w:sectPr w:rsidR="003B405D" w:rsidRPr="005E2339" w:rsidSect="00EE1C0E">
      <w:pgSz w:w="12240" w:h="15840"/>
      <w:pgMar w:top="851"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7"/>
      <w:numFmt w:val="decimal"/>
      <w:lvlText w:val="%1."/>
      <w:lvlJc w:val="left"/>
      <w:pPr>
        <w:tabs>
          <w:tab w:val="num" w:pos="0"/>
        </w:tabs>
        <w:ind w:left="720" w:hanging="360"/>
      </w:pPr>
      <w:rPr>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20"/>
  <w:displayHorizontalDrawingGridEvery w:val="2"/>
  <w:displayVerticalDrawingGridEvery w:val="2"/>
  <w:characterSpacingControl w:val="doNotCompress"/>
  <w:compat/>
  <w:rsids>
    <w:rsidRoot w:val="004B0D1D"/>
    <w:rsid w:val="000061B8"/>
    <w:rsid w:val="0003776C"/>
    <w:rsid w:val="00045487"/>
    <w:rsid w:val="0008498A"/>
    <w:rsid w:val="00095759"/>
    <w:rsid w:val="000B171B"/>
    <w:rsid w:val="000B599B"/>
    <w:rsid w:val="000B6837"/>
    <w:rsid w:val="000C39C3"/>
    <w:rsid w:val="000D5C2B"/>
    <w:rsid w:val="000F0B18"/>
    <w:rsid w:val="000F7DBD"/>
    <w:rsid w:val="0011171C"/>
    <w:rsid w:val="00114B42"/>
    <w:rsid w:val="0012638B"/>
    <w:rsid w:val="001412A6"/>
    <w:rsid w:val="0014391C"/>
    <w:rsid w:val="00146F2E"/>
    <w:rsid w:val="00156854"/>
    <w:rsid w:val="00162289"/>
    <w:rsid w:val="00176AAF"/>
    <w:rsid w:val="001929F5"/>
    <w:rsid w:val="001A6E8D"/>
    <w:rsid w:val="001C2C81"/>
    <w:rsid w:val="001C4A65"/>
    <w:rsid w:val="001F5693"/>
    <w:rsid w:val="001F6069"/>
    <w:rsid w:val="001F6F24"/>
    <w:rsid w:val="001F72FF"/>
    <w:rsid w:val="00214C9D"/>
    <w:rsid w:val="002154E5"/>
    <w:rsid w:val="00222257"/>
    <w:rsid w:val="00224234"/>
    <w:rsid w:val="002307E0"/>
    <w:rsid w:val="00232AB7"/>
    <w:rsid w:val="002360D1"/>
    <w:rsid w:val="002528C5"/>
    <w:rsid w:val="00253EED"/>
    <w:rsid w:val="002629ED"/>
    <w:rsid w:val="002635E7"/>
    <w:rsid w:val="00265542"/>
    <w:rsid w:val="00266062"/>
    <w:rsid w:val="00285578"/>
    <w:rsid w:val="00294311"/>
    <w:rsid w:val="002C06B4"/>
    <w:rsid w:val="002D463A"/>
    <w:rsid w:val="002E2AC6"/>
    <w:rsid w:val="002E6960"/>
    <w:rsid w:val="003145F0"/>
    <w:rsid w:val="003236C3"/>
    <w:rsid w:val="00354B3A"/>
    <w:rsid w:val="003634C2"/>
    <w:rsid w:val="00367C6A"/>
    <w:rsid w:val="003817CA"/>
    <w:rsid w:val="00386657"/>
    <w:rsid w:val="00391197"/>
    <w:rsid w:val="003A19E7"/>
    <w:rsid w:val="003B405D"/>
    <w:rsid w:val="003C310B"/>
    <w:rsid w:val="003C639B"/>
    <w:rsid w:val="003D15A7"/>
    <w:rsid w:val="0040796E"/>
    <w:rsid w:val="00410285"/>
    <w:rsid w:val="00420C9E"/>
    <w:rsid w:val="004428EF"/>
    <w:rsid w:val="0044613E"/>
    <w:rsid w:val="004525C5"/>
    <w:rsid w:val="0046634F"/>
    <w:rsid w:val="00474996"/>
    <w:rsid w:val="00481E92"/>
    <w:rsid w:val="004900A1"/>
    <w:rsid w:val="0049492A"/>
    <w:rsid w:val="00495DAD"/>
    <w:rsid w:val="004B0D1D"/>
    <w:rsid w:val="004B1605"/>
    <w:rsid w:val="004B73E9"/>
    <w:rsid w:val="004D2312"/>
    <w:rsid w:val="004E0E6B"/>
    <w:rsid w:val="004F37D4"/>
    <w:rsid w:val="004F7A68"/>
    <w:rsid w:val="0051286A"/>
    <w:rsid w:val="00535667"/>
    <w:rsid w:val="005414CE"/>
    <w:rsid w:val="00543E47"/>
    <w:rsid w:val="00544B61"/>
    <w:rsid w:val="005A34A6"/>
    <w:rsid w:val="005A6D32"/>
    <w:rsid w:val="005A7E53"/>
    <w:rsid w:val="005B7802"/>
    <w:rsid w:val="005C357D"/>
    <w:rsid w:val="005E2339"/>
    <w:rsid w:val="006029B7"/>
    <w:rsid w:val="00627A26"/>
    <w:rsid w:val="00673AEF"/>
    <w:rsid w:val="00684CB5"/>
    <w:rsid w:val="006A0452"/>
    <w:rsid w:val="006A6FC9"/>
    <w:rsid w:val="006D7496"/>
    <w:rsid w:val="006F742E"/>
    <w:rsid w:val="00732119"/>
    <w:rsid w:val="00732425"/>
    <w:rsid w:val="007502A3"/>
    <w:rsid w:val="00754DEC"/>
    <w:rsid w:val="0077497D"/>
    <w:rsid w:val="007755D8"/>
    <w:rsid w:val="00775BCE"/>
    <w:rsid w:val="007A3383"/>
    <w:rsid w:val="007C14BF"/>
    <w:rsid w:val="007D42C5"/>
    <w:rsid w:val="007E3A52"/>
    <w:rsid w:val="008013B6"/>
    <w:rsid w:val="0081253D"/>
    <w:rsid w:val="0082549F"/>
    <w:rsid w:val="00826BB9"/>
    <w:rsid w:val="008A7475"/>
    <w:rsid w:val="008B6770"/>
    <w:rsid w:val="008F71A1"/>
    <w:rsid w:val="00930300"/>
    <w:rsid w:val="00944E68"/>
    <w:rsid w:val="009601CD"/>
    <w:rsid w:val="009703E2"/>
    <w:rsid w:val="009711A6"/>
    <w:rsid w:val="009B110F"/>
    <w:rsid w:val="009C4285"/>
    <w:rsid w:val="00A0024D"/>
    <w:rsid w:val="00A124A5"/>
    <w:rsid w:val="00A47845"/>
    <w:rsid w:val="00A52303"/>
    <w:rsid w:val="00A57366"/>
    <w:rsid w:val="00A65811"/>
    <w:rsid w:val="00A72C93"/>
    <w:rsid w:val="00A749DB"/>
    <w:rsid w:val="00A7761E"/>
    <w:rsid w:val="00A827B5"/>
    <w:rsid w:val="00A91229"/>
    <w:rsid w:val="00AD0F3C"/>
    <w:rsid w:val="00AD5E60"/>
    <w:rsid w:val="00AD7910"/>
    <w:rsid w:val="00AF36E3"/>
    <w:rsid w:val="00AF74B0"/>
    <w:rsid w:val="00B06BEA"/>
    <w:rsid w:val="00B10E45"/>
    <w:rsid w:val="00B172A3"/>
    <w:rsid w:val="00B311F3"/>
    <w:rsid w:val="00B34A47"/>
    <w:rsid w:val="00B36AA0"/>
    <w:rsid w:val="00B40736"/>
    <w:rsid w:val="00B7421D"/>
    <w:rsid w:val="00B856BF"/>
    <w:rsid w:val="00BA1B12"/>
    <w:rsid w:val="00BC2807"/>
    <w:rsid w:val="00BD1340"/>
    <w:rsid w:val="00BD1E0F"/>
    <w:rsid w:val="00BD2E56"/>
    <w:rsid w:val="00BE06BC"/>
    <w:rsid w:val="00C02306"/>
    <w:rsid w:val="00C27683"/>
    <w:rsid w:val="00C3077D"/>
    <w:rsid w:val="00C54C2D"/>
    <w:rsid w:val="00C630AA"/>
    <w:rsid w:val="00C72250"/>
    <w:rsid w:val="00C80766"/>
    <w:rsid w:val="00CA029B"/>
    <w:rsid w:val="00CA494C"/>
    <w:rsid w:val="00CC73D9"/>
    <w:rsid w:val="00CD69EE"/>
    <w:rsid w:val="00D06EBD"/>
    <w:rsid w:val="00D32E7A"/>
    <w:rsid w:val="00D5181D"/>
    <w:rsid w:val="00D64698"/>
    <w:rsid w:val="00D8584A"/>
    <w:rsid w:val="00D91870"/>
    <w:rsid w:val="00D93BBD"/>
    <w:rsid w:val="00DA3E74"/>
    <w:rsid w:val="00DB34EA"/>
    <w:rsid w:val="00DB40E7"/>
    <w:rsid w:val="00DD2EBE"/>
    <w:rsid w:val="00DF715A"/>
    <w:rsid w:val="00E00FFE"/>
    <w:rsid w:val="00E11A67"/>
    <w:rsid w:val="00E32F79"/>
    <w:rsid w:val="00E4378F"/>
    <w:rsid w:val="00E5050A"/>
    <w:rsid w:val="00E640AF"/>
    <w:rsid w:val="00E65E06"/>
    <w:rsid w:val="00E67224"/>
    <w:rsid w:val="00E8744A"/>
    <w:rsid w:val="00EA1FB0"/>
    <w:rsid w:val="00EA5B99"/>
    <w:rsid w:val="00EA6FEF"/>
    <w:rsid w:val="00EC1B4D"/>
    <w:rsid w:val="00EC4058"/>
    <w:rsid w:val="00EE1C0E"/>
    <w:rsid w:val="00EE2BB4"/>
    <w:rsid w:val="00EE3C95"/>
    <w:rsid w:val="00EF5692"/>
    <w:rsid w:val="00F060CE"/>
    <w:rsid w:val="00F17514"/>
    <w:rsid w:val="00F3499A"/>
    <w:rsid w:val="00F53B42"/>
    <w:rsid w:val="00F630EA"/>
    <w:rsid w:val="00F819CD"/>
    <w:rsid w:val="00F83891"/>
    <w:rsid w:val="00F963D6"/>
    <w:rsid w:val="00F97A72"/>
    <w:rsid w:val="00FA1F31"/>
    <w:rsid w:val="00FA2518"/>
    <w:rsid w:val="00FB2434"/>
    <w:rsid w:val="00FC31D7"/>
    <w:rsid w:val="00FC33C3"/>
    <w:rsid w:val="00FC6121"/>
    <w:rsid w:val="00FC6A95"/>
    <w:rsid w:val="00FD0C0C"/>
    <w:rsid w:val="00FE000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astasistinklapis">
    <w:name w:val="Įprastasis (tinklapis)"/>
    <w:basedOn w:val="Normal"/>
    <w:rsid w:val="004B0D1D"/>
    <w:pPr>
      <w:suppressAutoHyphens/>
      <w:spacing w:before="280" w:after="280" w:line="240" w:lineRule="auto"/>
    </w:pPr>
    <w:rPr>
      <w:rFonts w:eastAsia="Times New Roman"/>
      <w:bCs w:val="0"/>
      <w:lang w:eastAsia="zh-CN"/>
    </w:rPr>
  </w:style>
  <w:style w:type="paragraph" w:styleId="BalloonText">
    <w:name w:val="Balloon Text"/>
    <w:basedOn w:val="Normal"/>
    <w:link w:val="BalloonTextChar"/>
    <w:uiPriority w:val="99"/>
    <w:semiHidden/>
    <w:unhideWhenUsed/>
    <w:rsid w:val="004B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style val="21"/>
  <c:chart>
    <c:title>
      <c:tx>
        <c:rich>
          <a:bodyPr/>
          <a:lstStyle/>
          <a:p>
            <a:pPr>
              <a:defRPr/>
            </a:pPr>
            <a:r>
              <a:rPr lang="lt-LT" sz="1600"/>
              <a:t>Respondentų pasiskirstymas pagal lytį</a:t>
            </a:r>
            <a:endParaRPr lang="en-US" sz="1600"/>
          </a:p>
        </c:rich>
      </c:tx>
    </c:title>
    <c:plotArea>
      <c:layout/>
      <c:pieChart>
        <c:varyColors val="1"/>
        <c:ser>
          <c:idx val="0"/>
          <c:order val="0"/>
          <c:tx>
            <c:strRef>
              <c:f>Sheet1!$B$1</c:f>
              <c:strCache>
                <c:ptCount val="1"/>
                <c:pt idx="0">
                  <c:v>Sales</c:v>
                </c:pt>
              </c:strCache>
            </c:strRef>
          </c:tx>
          <c:dPt>
            <c:idx val="0"/>
            <c:spPr>
              <a:solidFill>
                <a:srgbClr val="008000"/>
              </a:solidFill>
            </c:spPr>
          </c:dPt>
          <c:dLbls>
            <c:showVal val="1"/>
            <c:showLeaderLines val="1"/>
          </c:dLbls>
          <c:cat>
            <c:strRef>
              <c:f>Sheet1!$A$2:$A$4</c:f>
              <c:strCache>
                <c:ptCount val="3"/>
                <c:pt idx="0">
                  <c:v>Vyrai</c:v>
                </c:pt>
                <c:pt idx="1">
                  <c:v>Moterys</c:v>
                </c:pt>
                <c:pt idx="2">
                  <c:v>Nenurodyta</c:v>
                </c:pt>
              </c:strCache>
            </c:strRef>
          </c:cat>
          <c:val>
            <c:numRef>
              <c:f>Sheet1!$B$2:$B$4</c:f>
              <c:numCache>
                <c:formatCode>0.0%</c:formatCode>
                <c:ptCount val="3"/>
                <c:pt idx="0">
                  <c:v>0.23500000000000001</c:v>
                </c:pt>
                <c:pt idx="1">
                  <c:v>0.75900000000000134</c:v>
                </c:pt>
                <c:pt idx="2">
                  <c:v>6.0000000000000123E-3</c:v>
                </c:pt>
              </c:numCache>
            </c:numRef>
          </c:val>
        </c:ser>
        <c:firstSliceAng val="0"/>
      </c:pieChart>
    </c:plotArea>
    <c:legend>
      <c:legendPos val="r"/>
      <c:layout>
        <c:manualLayout>
          <c:xMode val="edge"/>
          <c:yMode val="edge"/>
          <c:x val="0.74856025809273841"/>
          <c:y val="0.3350371828521449"/>
          <c:w val="0.2375508530183727"/>
          <c:h val="0.29808023997000604"/>
        </c:manualLayout>
      </c:layout>
    </c:legend>
    <c:plotVisOnly val="1"/>
  </c:chart>
  <c:spPr>
    <a:solidFill>
      <a:schemeClr val="lt1"/>
    </a:solidFill>
    <a:ln w="25400" cap="flat" cmpd="sng" algn="ctr">
      <a:solidFill>
        <a:srgbClr val="006600"/>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t-LT"/>
  <c:style val="21"/>
  <c:chart>
    <c:title>
      <c:tx>
        <c:rich>
          <a:bodyPr/>
          <a:lstStyle/>
          <a:p>
            <a:pPr>
              <a:defRPr/>
            </a:pPr>
            <a:r>
              <a:rPr lang="lt-LT" sz="1600"/>
              <a:t>Ar prisidėtu savanorišku darbu</a:t>
            </a:r>
            <a:endParaRPr lang="en-US" sz="1600"/>
          </a:p>
        </c:rich>
      </c:tx>
    </c:title>
    <c:plotArea>
      <c:layout>
        <c:manualLayout>
          <c:layoutTarget val="inner"/>
          <c:xMode val="edge"/>
          <c:yMode val="edge"/>
          <c:x val="2.0833333333333412E-2"/>
          <c:y val="0.18253968253968356"/>
          <c:w val="0.93101532737301762"/>
          <c:h val="0.69101007535348513"/>
        </c:manualLayout>
      </c:layout>
      <c:barChart>
        <c:barDir val="col"/>
        <c:grouping val="clustered"/>
        <c:ser>
          <c:idx val="0"/>
          <c:order val="0"/>
          <c:tx>
            <c:strRef>
              <c:f>Sheet1!$B$1</c:f>
              <c:strCache>
                <c:ptCount val="1"/>
                <c:pt idx="0">
                  <c:v>Series 1</c:v>
                </c:pt>
              </c:strCache>
            </c:strRef>
          </c:tx>
          <c:dLbls>
            <c:showVal val="1"/>
          </c:dLbls>
          <c:cat>
            <c:strRef>
              <c:f>Sheet1!$A$2:$A$3</c:f>
              <c:strCache>
                <c:ptCount val="2"/>
                <c:pt idx="0">
                  <c:v>Taip</c:v>
                </c:pt>
                <c:pt idx="1">
                  <c:v>Ne</c:v>
                </c:pt>
              </c:strCache>
            </c:strRef>
          </c:cat>
          <c:val>
            <c:numRef>
              <c:f>Sheet1!$B$2:$B$3</c:f>
              <c:numCache>
                <c:formatCode>0.0%</c:formatCode>
                <c:ptCount val="2"/>
                <c:pt idx="0">
                  <c:v>0.83500000000000063</c:v>
                </c:pt>
                <c:pt idx="1">
                  <c:v>0.14700000000000021</c:v>
                </c:pt>
              </c:numCache>
            </c:numRef>
          </c:val>
        </c:ser>
        <c:axId val="63043456"/>
        <c:axId val="63044992"/>
      </c:barChart>
      <c:catAx>
        <c:axId val="63043456"/>
        <c:scaling>
          <c:orientation val="minMax"/>
        </c:scaling>
        <c:axPos val="b"/>
        <c:tickLblPos val="nextTo"/>
        <c:crossAx val="63044992"/>
        <c:crosses val="autoZero"/>
        <c:auto val="1"/>
        <c:lblAlgn val="ctr"/>
        <c:lblOffset val="100"/>
      </c:catAx>
      <c:valAx>
        <c:axId val="63044992"/>
        <c:scaling>
          <c:orientation val="minMax"/>
        </c:scaling>
        <c:delete val="1"/>
        <c:axPos val="l"/>
        <c:numFmt formatCode="0.0%" sourceLinked="1"/>
        <c:tickLblPos val="none"/>
        <c:crossAx val="63043456"/>
        <c:crosses val="autoZero"/>
        <c:crossBetween val="between"/>
      </c:valAx>
    </c:plotArea>
    <c:plotVisOnly val="1"/>
  </c:chart>
  <c:spPr>
    <a:solidFill>
      <a:schemeClr val="lt1"/>
    </a:solidFill>
    <a:ln w="25400" cap="flat" cmpd="sng" algn="ctr">
      <a:solidFill>
        <a:srgbClr val="336600"/>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t-LT"/>
  <c:style val="21"/>
  <c:chart>
    <c:title>
      <c:tx>
        <c:rich>
          <a:bodyPr/>
          <a:lstStyle/>
          <a:p>
            <a:pPr>
              <a:defRPr/>
            </a:pPr>
            <a:r>
              <a:rPr lang="lt-LT" sz="1600"/>
              <a:t>Ar imtųsi smulkaus verslo, jei būtų suteikta ES parama</a:t>
            </a:r>
            <a:endParaRPr lang="en-US" sz="1600"/>
          </a:p>
        </c:rich>
      </c:tx>
    </c:title>
    <c:plotArea>
      <c:layout/>
      <c:barChart>
        <c:barDir val="col"/>
        <c:grouping val="clustered"/>
        <c:ser>
          <c:idx val="0"/>
          <c:order val="0"/>
          <c:tx>
            <c:strRef>
              <c:f>Sheet1!$B$1</c:f>
              <c:strCache>
                <c:ptCount val="1"/>
                <c:pt idx="0">
                  <c:v>Series 1</c:v>
                </c:pt>
              </c:strCache>
            </c:strRef>
          </c:tx>
          <c:dLbls>
            <c:showVal val="1"/>
          </c:dLbls>
          <c:cat>
            <c:strRef>
              <c:f>Sheet1!$A$2:$A$3</c:f>
              <c:strCache>
                <c:ptCount val="2"/>
                <c:pt idx="0">
                  <c:v>Taip</c:v>
                </c:pt>
                <c:pt idx="1">
                  <c:v>Ne</c:v>
                </c:pt>
              </c:strCache>
            </c:strRef>
          </c:cat>
          <c:val>
            <c:numRef>
              <c:f>Sheet1!$B$2:$B$3</c:f>
              <c:numCache>
                <c:formatCode>0.0%</c:formatCode>
                <c:ptCount val="2"/>
                <c:pt idx="0">
                  <c:v>0.40600000000000008</c:v>
                </c:pt>
                <c:pt idx="1">
                  <c:v>0.57600000000000062</c:v>
                </c:pt>
              </c:numCache>
            </c:numRef>
          </c:val>
        </c:ser>
        <c:axId val="69843968"/>
        <c:axId val="69985024"/>
      </c:barChart>
      <c:catAx>
        <c:axId val="69843968"/>
        <c:scaling>
          <c:orientation val="minMax"/>
        </c:scaling>
        <c:axPos val="b"/>
        <c:tickLblPos val="nextTo"/>
        <c:crossAx val="69985024"/>
        <c:crosses val="autoZero"/>
        <c:auto val="1"/>
        <c:lblAlgn val="ctr"/>
        <c:lblOffset val="100"/>
      </c:catAx>
      <c:valAx>
        <c:axId val="69985024"/>
        <c:scaling>
          <c:orientation val="minMax"/>
        </c:scaling>
        <c:delete val="1"/>
        <c:axPos val="l"/>
        <c:numFmt formatCode="0.0%" sourceLinked="1"/>
        <c:tickLblPos val="none"/>
        <c:crossAx val="69843968"/>
        <c:crosses val="autoZero"/>
        <c:crossBetween val="between"/>
      </c:valAx>
    </c:plotArea>
    <c:plotVisOnly val="1"/>
  </c:chart>
  <c:spPr>
    <a:solidFill>
      <a:schemeClr val="lt1"/>
    </a:solidFill>
    <a:ln w="25400" cap="flat" cmpd="sng" algn="ctr">
      <a:solidFill>
        <a:srgbClr val="336600"/>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t-LT"/>
  <c:style val="21"/>
  <c:chart>
    <c:title>
      <c:tx>
        <c:rich>
          <a:bodyPr/>
          <a:lstStyle/>
          <a:p>
            <a:pPr>
              <a:defRPr/>
            </a:pPr>
            <a:r>
              <a:rPr lang="lt-LT" sz="1600"/>
              <a:t>Priemonės jaunimui</a:t>
            </a:r>
            <a:endParaRPr lang="en-US" sz="1600"/>
          </a:p>
        </c:rich>
      </c:tx>
    </c:title>
    <c:plotArea>
      <c:layout/>
      <c:barChart>
        <c:barDir val="bar"/>
        <c:grouping val="clustered"/>
        <c:ser>
          <c:idx val="0"/>
          <c:order val="0"/>
          <c:tx>
            <c:strRef>
              <c:f>Sheet1!$B$1</c:f>
              <c:strCache>
                <c:ptCount val="1"/>
                <c:pt idx="0">
                  <c:v>Series 1</c:v>
                </c:pt>
              </c:strCache>
            </c:strRef>
          </c:tx>
          <c:dLbls>
            <c:showVal val="1"/>
          </c:dLbls>
          <c:cat>
            <c:strRef>
              <c:f>Sheet1!$A$2:$A$8</c:f>
              <c:strCache>
                <c:ptCount val="7"/>
                <c:pt idx="0">
                  <c:v>Turi būti finansuojamos jaunimo verslo iniciatyvos</c:v>
                </c:pt>
                <c:pt idx="1">
                  <c:v>Laisvalaikio (kultūros, sporto ir pan.) galimybių didinimas</c:v>
                </c:pt>
                <c:pt idx="2">
                  <c:v>Bendruomenė turėtų įtraukti jaunimą į savo veiklą</c:v>
                </c:pt>
                <c:pt idx="3">
                  <c:v>Galimybių jauniems žmonėms dirbti sudarymas</c:v>
                </c:pt>
                <c:pt idx="4">
                  <c:v>Jaunimo informavimas apie galimybes mokytis, kurti verslą ir pan.</c:v>
                </c:pt>
                <c:pt idx="5">
                  <c:v>Reikia įtraukti jaunimą į savanorišką veiklą</c:v>
                </c:pt>
                <c:pt idx="6">
                  <c:v>Saugios gyvenamosios aplinkos kūrimas</c:v>
                </c:pt>
              </c:strCache>
            </c:strRef>
          </c:cat>
          <c:val>
            <c:numRef>
              <c:f>Sheet1!$B$2:$B$8</c:f>
              <c:numCache>
                <c:formatCode>0.0%</c:formatCode>
                <c:ptCount val="7"/>
                <c:pt idx="0">
                  <c:v>0.54700000000000004</c:v>
                </c:pt>
                <c:pt idx="1">
                  <c:v>0.52400000000000002</c:v>
                </c:pt>
                <c:pt idx="2">
                  <c:v>0.37600000000000061</c:v>
                </c:pt>
                <c:pt idx="3">
                  <c:v>0.36500000000000032</c:v>
                </c:pt>
                <c:pt idx="4">
                  <c:v>0.29400000000000032</c:v>
                </c:pt>
                <c:pt idx="5">
                  <c:v>0.2470000000000003</c:v>
                </c:pt>
                <c:pt idx="6">
                  <c:v>0.20600000000000004</c:v>
                </c:pt>
              </c:numCache>
            </c:numRef>
          </c:val>
        </c:ser>
        <c:axId val="70222208"/>
        <c:axId val="70223744"/>
      </c:barChart>
      <c:catAx>
        <c:axId val="70222208"/>
        <c:scaling>
          <c:orientation val="maxMin"/>
        </c:scaling>
        <c:axPos val="l"/>
        <c:tickLblPos val="nextTo"/>
        <c:crossAx val="70223744"/>
        <c:crosses val="autoZero"/>
        <c:auto val="1"/>
        <c:lblAlgn val="ctr"/>
        <c:lblOffset val="100"/>
      </c:catAx>
      <c:valAx>
        <c:axId val="70223744"/>
        <c:scaling>
          <c:orientation val="minMax"/>
        </c:scaling>
        <c:delete val="1"/>
        <c:axPos val="t"/>
        <c:numFmt formatCode="0.0%" sourceLinked="1"/>
        <c:tickLblPos val="none"/>
        <c:crossAx val="70222208"/>
        <c:crosses val="autoZero"/>
        <c:crossBetween val="between"/>
      </c:valAx>
    </c:plotArea>
    <c:plotVisOnly val="1"/>
  </c:chart>
  <c:spPr>
    <a:solidFill>
      <a:schemeClr val="lt1"/>
    </a:solidFill>
    <a:ln w="25400" cap="flat" cmpd="sng" algn="ctr">
      <a:solidFill>
        <a:srgbClr val="336600"/>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style val="21"/>
  <c:chart>
    <c:title>
      <c:tx>
        <c:rich>
          <a:bodyPr/>
          <a:lstStyle/>
          <a:p>
            <a:pPr>
              <a:defRPr/>
            </a:pPr>
            <a:r>
              <a:rPr lang="lt-LT" sz="1600"/>
              <a:t>Respondentų pasiskirstymas pagal amžių</a:t>
            </a:r>
          </a:p>
        </c:rich>
      </c:tx>
    </c:title>
    <c:plotArea>
      <c:layout/>
      <c:pieChart>
        <c:varyColors val="1"/>
        <c:ser>
          <c:idx val="0"/>
          <c:order val="0"/>
          <c:tx>
            <c:strRef>
              <c:f>Sheet1!$B$1</c:f>
              <c:strCache>
                <c:ptCount val="1"/>
                <c:pt idx="0">
                  <c:v>Respondentų pasiskirstymas pagal amžių</c:v>
                </c:pt>
              </c:strCache>
            </c:strRef>
          </c:tx>
          <c:dPt>
            <c:idx val="2"/>
            <c:spPr>
              <a:solidFill>
                <a:srgbClr val="006600"/>
              </a:solidFill>
            </c:spPr>
          </c:dPt>
          <c:dLbls>
            <c:showVal val="1"/>
            <c:showLeaderLines val="1"/>
          </c:dLbls>
          <c:cat>
            <c:strRef>
              <c:f>Sheet1!$A$2:$A$5</c:f>
              <c:strCache>
                <c:ptCount val="4"/>
                <c:pt idx="0">
                  <c:v>18-29 m.</c:v>
                </c:pt>
                <c:pt idx="1">
                  <c:v>30-45 m.</c:v>
                </c:pt>
                <c:pt idx="2">
                  <c:v>46-64 m.</c:v>
                </c:pt>
                <c:pt idx="3">
                  <c:v>65 m. ir vyresni</c:v>
                </c:pt>
              </c:strCache>
            </c:strRef>
          </c:cat>
          <c:val>
            <c:numRef>
              <c:f>Sheet1!$B$2:$B$5</c:f>
              <c:numCache>
                <c:formatCode>0.0%</c:formatCode>
                <c:ptCount val="4"/>
                <c:pt idx="0">
                  <c:v>7.5999999999999998E-2</c:v>
                </c:pt>
                <c:pt idx="1">
                  <c:v>0.28800000000000031</c:v>
                </c:pt>
                <c:pt idx="2">
                  <c:v>0.5</c:v>
                </c:pt>
                <c:pt idx="3">
                  <c:v>0.12400000000000012</c:v>
                </c:pt>
              </c:numCache>
            </c:numRef>
          </c:val>
        </c:ser>
        <c:firstSliceAng val="0"/>
      </c:pieChart>
    </c:plotArea>
    <c:legend>
      <c:legendPos val="r"/>
      <c:layout>
        <c:manualLayout>
          <c:xMode val="edge"/>
          <c:yMode val="edge"/>
          <c:x val="0.75394101778944833"/>
          <c:y val="0.35286370453693289"/>
          <c:w val="0.23217009332166813"/>
          <c:h val="0.34070116235470582"/>
        </c:manualLayout>
      </c:layout>
    </c:legend>
    <c:plotVisOnly val="1"/>
  </c:chart>
  <c:spPr>
    <a:solidFill>
      <a:schemeClr val="lt1"/>
    </a:solidFill>
    <a:ln w="25400" cap="flat" cmpd="sng" algn="ctr">
      <a:solidFill>
        <a:srgbClr val="33993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style val="21"/>
  <c:chart>
    <c:title>
      <c:tx>
        <c:rich>
          <a:bodyPr/>
          <a:lstStyle/>
          <a:p>
            <a:pPr>
              <a:defRPr/>
            </a:pPr>
            <a:r>
              <a:rPr lang="lt-LT"/>
              <a:t>Opiausia rajono problema (proc.)</a:t>
            </a:r>
            <a:endParaRPr lang="en-US"/>
          </a:p>
        </c:rich>
      </c:tx>
    </c:title>
    <c:plotArea>
      <c:layout/>
      <c:barChart>
        <c:barDir val="bar"/>
        <c:grouping val="clustered"/>
        <c:ser>
          <c:idx val="0"/>
          <c:order val="0"/>
          <c:tx>
            <c:strRef>
              <c:f>Sheet1!$B$1</c:f>
              <c:strCache>
                <c:ptCount val="1"/>
                <c:pt idx="0">
                  <c:v>Series 1</c:v>
                </c:pt>
              </c:strCache>
            </c:strRef>
          </c:tx>
          <c:spPr>
            <a:solidFill>
              <a:srgbClr val="339933"/>
            </a:solidFill>
          </c:spPr>
          <c:dLbls>
            <c:dLbl>
              <c:idx val="11"/>
              <c:layout>
                <c:manualLayout>
                  <c:x val="0"/>
                  <c:y val="1.5219372211219155E-17"/>
                </c:manualLayout>
              </c:layout>
              <c:showVal val="1"/>
            </c:dLbl>
            <c:showVal val="1"/>
          </c:dLbls>
          <c:cat>
            <c:strRef>
              <c:f>Sheet1!$A$2:$A$13</c:f>
              <c:strCache>
                <c:ptCount val="12"/>
                <c:pt idx="0">
                  <c:v>Didelė atskirtis tarp jaunimo ir senųjų bendruomenės narių</c:v>
                </c:pt>
                <c:pt idx="1">
                  <c:v>Kaimo mokyklos, med. punkto, pašto, bibliotekos uždarymas</c:v>
                </c:pt>
                <c:pt idx="2">
                  <c:v>Jaunų šeimų problemų sprendimas</c:v>
                </c:pt>
                <c:pt idx="3">
                  <c:v>Socialinės problemos (nesveiki įpročiai, socialinė atskirtis)</c:v>
                </c:pt>
                <c:pt idx="4">
                  <c:v>Vietos gyventojų asmeninės ambicijos</c:v>
                </c:pt>
                <c:pt idx="5">
                  <c:v>Bloga infrastruktūra </c:v>
                </c:pt>
                <c:pt idx="6">
                  <c:v>Neaktyvūs bendruomenės nariai</c:v>
                </c:pt>
                <c:pt idx="7">
                  <c:v>Paslaugų trūkumas </c:v>
                </c:pt>
                <c:pt idx="8">
                  <c:v>Nedarbas</c:v>
                </c:pt>
                <c:pt idx="9">
                  <c:v>Gyventojų senėjimas</c:v>
                </c:pt>
                <c:pt idx="10">
                  <c:v>Gyventojų skaičiaus mažėjimas</c:v>
                </c:pt>
                <c:pt idx="11">
                  <c:v>Mažos gyventojų pajamos</c:v>
                </c:pt>
              </c:strCache>
            </c:strRef>
          </c:cat>
          <c:val>
            <c:numRef>
              <c:f>Sheet1!$B$2:$B$13</c:f>
              <c:numCache>
                <c:formatCode>0.0%</c:formatCode>
                <c:ptCount val="12"/>
                <c:pt idx="0">
                  <c:v>4.1000000000000002E-2</c:v>
                </c:pt>
                <c:pt idx="1">
                  <c:v>4.7000000000000014E-2</c:v>
                </c:pt>
                <c:pt idx="2">
                  <c:v>0.12400000000000012</c:v>
                </c:pt>
                <c:pt idx="3">
                  <c:v>0.14100000000000001</c:v>
                </c:pt>
                <c:pt idx="4">
                  <c:v>0.18200000000000024</c:v>
                </c:pt>
                <c:pt idx="5">
                  <c:v>0.23500000000000001</c:v>
                </c:pt>
                <c:pt idx="6">
                  <c:v>0.253</c:v>
                </c:pt>
                <c:pt idx="7">
                  <c:v>0.30600000000000038</c:v>
                </c:pt>
                <c:pt idx="8">
                  <c:v>0.34700000000000031</c:v>
                </c:pt>
                <c:pt idx="9">
                  <c:v>0.37600000000000061</c:v>
                </c:pt>
                <c:pt idx="10">
                  <c:v>0.38800000000000068</c:v>
                </c:pt>
                <c:pt idx="11">
                  <c:v>0.40600000000000008</c:v>
                </c:pt>
              </c:numCache>
            </c:numRef>
          </c:val>
        </c:ser>
        <c:axId val="56019968"/>
        <c:axId val="56509184"/>
      </c:barChart>
      <c:catAx>
        <c:axId val="56019968"/>
        <c:scaling>
          <c:orientation val="minMax"/>
        </c:scaling>
        <c:axPos val="l"/>
        <c:tickLblPos val="nextTo"/>
        <c:crossAx val="56509184"/>
        <c:crosses val="autoZero"/>
        <c:auto val="1"/>
        <c:lblAlgn val="ctr"/>
        <c:lblOffset val="100"/>
      </c:catAx>
      <c:valAx>
        <c:axId val="56509184"/>
        <c:scaling>
          <c:orientation val="minMax"/>
        </c:scaling>
        <c:delete val="1"/>
        <c:axPos val="b"/>
        <c:numFmt formatCode="0.0%" sourceLinked="1"/>
        <c:tickLblPos val="none"/>
        <c:crossAx val="56019968"/>
        <c:crosses val="autoZero"/>
        <c:crossBetween val="between"/>
      </c:valAx>
    </c:plotArea>
    <c:plotVisOnly val="1"/>
  </c:chart>
  <c:spPr>
    <a:solidFill>
      <a:schemeClr val="lt1"/>
    </a:solidFill>
    <a:ln w="25400" cap="flat" cmpd="sng" algn="ctr">
      <a:solidFill>
        <a:srgbClr val="008000"/>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style val="21"/>
  <c:chart>
    <c:title>
      <c:tx>
        <c:rich>
          <a:bodyPr/>
          <a:lstStyle/>
          <a:p>
            <a:pPr>
              <a:defRPr/>
            </a:pPr>
            <a:r>
              <a:rPr lang="lt-LT" sz="1600"/>
              <a:t>Paramos nauda</a:t>
            </a:r>
            <a:endParaRPr lang="en-US" sz="1600"/>
          </a:p>
        </c:rich>
      </c:tx>
    </c:title>
    <c:plotArea>
      <c:layout/>
      <c:barChart>
        <c:barDir val="col"/>
        <c:grouping val="clustered"/>
        <c:ser>
          <c:idx val="0"/>
          <c:order val="0"/>
          <c:tx>
            <c:strRef>
              <c:f>Sheet1!$B$1</c:f>
              <c:strCache>
                <c:ptCount val="1"/>
                <c:pt idx="0">
                  <c:v>Series 1</c:v>
                </c:pt>
              </c:strCache>
            </c:strRef>
          </c:tx>
          <c:spPr>
            <a:solidFill>
              <a:srgbClr val="336600"/>
            </a:solidFill>
          </c:spPr>
          <c:dLbls>
            <c:showVal val="1"/>
          </c:dLbls>
          <c:cat>
            <c:strRef>
              <c:f>Sheet1!$A$2:$A$3</c:f>
              <c:strCache>
                <c:ptCount val="2"/>
                <c:pt idx="0">
                  <c:v>Taip</c:v>
                </c:pt>
                <c:pt idx="1">
                  <c:v>Ne</c:v>
                </c:pt>
              </c:strCache>
            </c:strRef>
          </c:cat>
          <c:val>
            <c:numRef>
              <c:f>Sheet1!$B$2:$B$3</c:f>
              <c:numCache>
                <c:formatCode>0.0%</c:formatCode>
                <c:ptCount val="2"/>
                <c:pt idx="0">
                  <c:v>0.65900000000000158</c:v>
                </c:pt>
                <c:pt idx="1">
                  <c:v>0.32400000000000068</c:v>
                </c:pt>
              </c:numCache>
            </c:numRef>
          </c:val>
        </c:ser>
        <c:axId val="69112192"/>
        <c:axId val="69113728"/>
      </c:barChart>
      <c:catAx>
        <c:axId val="69112192"/>
        <c:scaling>
          <c:orientation val="minMax"/>
        </c:scaling>
        <c:axPos val="b"/>
        <c:tickLblPos val="nextTo"/>
        <c:crossAx val="69113728"/>
        <c:crosses val="autoZero"/>
        <c:auto val="1"/>
        <c:lblAlgn val="ctr"/>
        <c:lblOffset val="100"/>
      </c:catAx>
      <c:valAx>
        <c:axId val="69113728"/>
        <c:scaling>
          <c:orientation val="minMax"/>
        </c:scaling>
        <c:delete val="1"/>
        <c:axPos val="l"/>
        <c:numFmt formatCode="0.0%" sourceLinked="1"/>
        <c:tickLblPos val="none"/>
        <c:crossAx val="69112192"/>
        <c:crosses val="autoZero"/>
        <c:crossBetween val="between"/>
      </c:valAx>
    </c:plotArea>
    <c:plotVisOnly val="1"/>
  </c:chart>
  <c:spPr>
    <a:solidFill>
      <a:schemeClr val="lt1"/>
    </a:solidFill>
    <a:ln w="25400" cap="flat" cmpd="sng" algn="ctr">
      <a:solidFill>
        <a:srgbClr val="33993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style val="21"/>
  <c:chart>
    <c:title>
      <c:tx>
        <c:rich>
          <a:bodyPr/>
          <a:lstStyle/>
          <a:p>
            <a:pPr>
              <a:defRPr/>
            </a:pPr>
            <a:r>
              <a:rPr lang="lt-LT" sz="1600"/>
              <a:t>Paslaugos, kurių trūksta rajono gyventojams</a:t>
            </a:r>
            <a:endParaRPr lang="en-US" sz="1600"/>
          </a:p>
        </c:rich>
      </c:tx>
    </c:title>
    <c:plotArea>
      <c:layout/>
      <c:barChart>
        <c:barDir val="bar"/>
        <c:grouping val="clustered"/>
        <c:ser>
          <c:idx val="0"/>
          <c:order val="0"/>
          <c:tx>
            <c:strRef>
              <c:f>Sheet1!$B$1</c:f>
              <c:strCache>
                <c:ptCount val="1"/>
                <c:pt idx="0">
                  <c:v>Taip, trūksta</c:v>
                </c:pt>
              </c:strCache>
            </c:strRef>
          </c:tx>
          <c:dLbls>
            <c:showVal val="1"/>
          </c:dLbls>
          <c:cat>
            <c:strRef>
              <c:f>Sheet1!$A$2:$A$11</c:f>
              <c:strCache>
                <c:ptCount val="10"/>
                <c:pt idx="0">
                  <c:v>Vyresnio amžiaus asmenų ir sunkių ligonių priežiūra</c:v>
                </c:pt>
                <c:pt idx="1">
                  <c:v>Specialios paslaugos sodyboms</c:v>
                </c:pt>
                <c:pt idx="2">
                  <c:v>Buitinių paslaugų teikimas</c:v>
                </c:pt>
                <c:pt idx="3">
                  <c:v>Transporto paslaugos</c:v>
                </c:pt>
                <c:pt idx="4">
                  <c:v>Nesudėtingas pastatų remontas</c:v>
                </c:pt>
                <c:pt idx="5">
                  <c:v>Vaikų priežiūros paslaugos</c:v>
                </c:pt>
                <c:pt idx="6">
                  <c:v>Aplinkos tvarkymas</c:v>
                </c:pt>
                <c:pt idx="7">
                  <c:v>Sklypo įdirbimas</c:v>
                </c:pt>
                <c:pt idx="8">
                  <c:v>Personalinių kompiuterių ir interneto priežiūros paslaugos</c:v>
                </c:pt>
                <c:pt idx="9">
                  <c:v>Apsirūpinimas kuru</c:v>
                </c:pt>
              </c:strCache>
            </c:strRef>
          </c:cat>
          <c:val>
            <c:numRef>
              <c:f>Sheet1!$B$2:$B$11</c:f>
              <c:numCache>
                <c:formatCode>0.0%</c:formatCode>
                <c:ptCount val="10"/>
                <c:pt idx="0">
                  <c:v>0.75900000000000134</c:v>
                </c:pt>
                <c:pt idx="1">
                  <c:v>0.68799999999999994</c:v>
                </c:pt>
                <c:pt idx="2">
                  <c:v>0.68799999999999994</c:v>
                </c:pt>
                <c:pt idx="3">
                  <c:v>0.61800000000000122</c:v>
                </c:pt>
                <c:pt idx="4">
                  <c:v>0.57099999999999995</c:v>
                </c:pt>
                <c:pt idx="5">
                  <c:v>0.40600000000000008</c:v>
                </c:pt>
                <c:pt idx="6">
                  <c:v>0.39400000000000085</c:v>
                </c:pt>
                <c:pt idx="7">
                  <c:v>0.37100000000000061</c:v>
                </c:pt>
                <c:pt idx="8">
                  <c:v>0.28800000000000031</c:v>
                </c:pt>
                <c:pt idx="9">
                  <c:v>0.23500000000000001</c:v>
                </c:pt>
              </c:numCache>
            </c:numRef>
          </c:val>
        </c:ser>
        <c:ser>
          <c:idx val="1"/>
          <c:order val="1"/>
          <c:tx>
            <c:strRef>
              <c:f>Sheet1!$C$1</c:f>
              <c:strCache>
                <c:ptCount val="1"/>
                <c:pt idx="0">
                  <c:v>Ne, netrūksta</c:v>
                </c:pt>
              </c:strCache>
            </c:strRef>
          </c:tx>
          <c:dLbls>
            <c:dLbl>
              <c:idx val="0"/>
              <c:layout>
                <c:manualLayout>
                  <c:x val="7.5795851359376527E-17"/>
                  <c:y val="-1.3605442176870748E-2"/>
                </c:manualLayout>
              </c:layout>
              <c:showVal val="1"/>
            </c:dLbl>
            <c:dLbl>
              <c:idx val="1"/>
              <c:layout>
                <c:manualLayout>
                  <c:x val="7.5795851359376527E-17"/>
                  <c:y val="-1.7006802721088437E-2"/>
                </c:manualLayout>
              </c:layout>
              <c:showVal val="1"/>
            </c:dLbl>
            <c:showVal val="1"/>
          </c:dLbls>
          <c:cat>
            <c:strRef>
              <c:f>Sheet1!$A$2:$A$11</c:f>
              <c:strCache>
                <c:ptCount val="10"/>
                <c:pt idx="0">
                  <c:v>Vyresnio amžiaus asmenų ir sunkių ligonių priežiūra</c:v>
                </c:pt>
                <c:pt idx="1">
                  <c:v>Specialios paslaugos sodyboms</c:v>
                </c:pt>
                <c:pt idx="2">
                  <c:v>Buitinių paslaugų teikimas</c:v>
                </c:pt>
                <c:pt idx="3">
                  <c:v>Transporto paslaugos</c:v>
                </c:pt>
                <c:pt idx="4">
                  <c:v>Nesudėtingas pastatų remontas</c:v>
                </c:pt>
                <c:pt idx="5">
                  <c:v>Vaikų priežiūros paslaugos</c:v>
                </c:pt>
                <c:pt idx="6">
                  <c:v>Aplinkos tvarkymas</c:v>
                </c:pt>
                <c:pt idx="7">
                  <c:v>Sklypo įdirbimas</c:v>
                </c:pt>
                <c:pt idx="8">
                  <c:v>Personalinių kompiuterių ir interneto priežiūros paslaugos</c:v>
                </c:pt>
                <c:pt idx="9">
                  <c:v>Apsirūpinimas kuru</c:v>
                </c:pt>
              </c:strCache>
            </c:strRef>
          </c:cat>
          <c:val>
            <c:numRef>
              <c:f>Sheet1!$C$2:$C$11</c:f>
              <c:numCache>
                <c:formatCode>0.0%</c:formatCode>
                <c:ptCount val="10"/>
                <c:pt idx="0">
                  <c:v>0.24100000000000021</c:v>
                </c:pt>
                <c:pt idx="1">
                  <c:v>0.31200000000000061</c:v>
                </c:pt>
                <c:pt idx="2">
                  <c:v>0.31200000000000061</c:v>
                </c:pt>
                <c:pt idx="3">
                  <c:v>0.38200000000000067</c:v>
                </c:pt>
                <c:pt idx="4">
                  <c:v>0.42900000000000038</c:v>
                </c:pt>
                <c:pt idx="5">
                  <c:v>0.59399999999999997</c:v>
                </c:pt>
                <c:pt idx="6">
                  <c:v>0.60600000000000065</c:v>
                </c:pt>
                <c:pt idx="7">
                  <c:v>0.62900000000000134</c:v>
                </c:pt>
                <c:pt idx="8">
                  <c:v>0.71200000000000063</c:v>
                </c:pt>
                <c:pt idx="9">
                  <c:v>0.76500000000000135</c:v>
                </c:pt>
              </c:numCache>
            </c:numRef>
          </c:val>
        </c:ser>
        <c:axId val="76380800"/>
        <c:axId val="69861760"/>
      </c:barChart>
      <c:catAx>
        <c:axId val="76380800"/>
        <c:scaling>
          <c:orientation val="maxMin"/>
        </c:scaling>
        <c:axPos val="l"/>
        <c:tickLblPos val="nextTo"/>
        <c:crossAx val="69861760"/>
        <c:crosses val="autoZero"/>
        <c:auto val="1"/>
        <c:lblAlgn val="ctr"/>
        <c:lblOffset val="100"/>
      </c:catAx>
      <c:valAx>
        <c:axId val="69861760"/>
        <c:scaling>
          <c:orientation val="minMax"/>
        </c:scaling>
        <c:delete val="1"/>
        <c:axPos val="t"/>
        <c:numFmt formatCode="0.0%" sourceLinked="1"/>
        <c:tickLblPos val="none"/>
        <c:crossAx val="76380800"/>
        <c:crosses val="autoZero"/>
        <c:crossBetween val="between"/>
      </c:valAx>
    </c:plotArea>
    <c:legend>
      <c:legendPos val="r"/>
      <c:layout>
        <c:manualLayout>
          <c:xMode val="edge"/>
          <c:yMode val="edge"/>
          <c:x val="0.84271940426051783"/>
          <c:y val="0.38407172317746285"/>
          <c:w val="0.14487749496429292"/>
          <c:h val="0.27267288017569391"/>
        </c:manualLayout>
      </c:layout>
    </c:legend>
    <c:plotVisOnly val="1"/>
  </c:chart>
  <c:spPr>
    <a:solidFill>
      <a:schemeClr val="lt1"/>
    </a:solidFill>
    <a:ln w="25400" cap="flat" cmpd="sng" algn="ctr">
      <a:solidFill>
        <a:srgbClr val="008000"/>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style val="21"/>
  <c:chart>
    <c:title>
      <c:tx>
        <c:rich>
          <a:bodyPr/>
          <a:lstStyle/>
          <a:p>
            <a:pPr>
              <a:defRPr/>
            </a:pPr>
            <a:r>
              <a:rPr lang="lt-LT" sz="1600"/>
              <a:t>Ar pirktumėte šias paslaugas, jei jos būtų pradėtos teikti?</a:t>
            </a:r>
            <a:endParaRPr lang="en-US" sz="1600"/>
          </a:p>
        </c:rich>
      </c:tx>
      <c:layout>
        <c:manualLayout>
          <c:xMode val="edge"/>
          <c:yMode val="edge"/>
          <c:x val="0.11163547876353525"/>
          <c:y val="2.7777711996526799E-2"/>
        </c:manualLayout>
      </c:layout>
    </c:title>
    <c:plotArea>
      <c:layout/>
      <c:barChart>
        <c:barDir val="col"/>
        <c:grouping val="clustered"/>
        <c:ser>
          <c:idx val="0"/>
          <c:order val="0"/>
          <c:tx>
            <c:strRef>
              <c:f>Sheet1!$B$1</c:f>
              <c:strCache>
                <c:ptCount val="1"/>
                <c:pt idx="0">
                  <c:v>Column2</c:v>
                </c:pt>
              </c:strCache>
            </c:strRef>
          </c:tx>
          <c:dLbls>
            <c:showVal val="1"/>
          </c:dLbls>
          <c:cat>
            <c:strRef>
              <c:f>Sheet1!$A$2:$A$3</c:f>
              <c:strCache>
                <c:ptCount val="2"/>
                <c:pt idx="0">
                  <c:v>Taip, pirkčiau</c:v>
                </c:pt>
                <c:pt idx="1">
                  <c:v>Ne, nepirkčiau</c:v>
                </c:pt>
              </c:strCache>
            </c:strRef>
          </c:cat>
          <c:val>
            <c:numRef>
              <c:f>Sheet1!$B$2:$B$3</c:f>
              <c:numCache>
                <c:formatCode>0.0%</c:formatCode>
                <c:ptCount val="2"/>
                <c:pt idx="0">
                  <c:v>0.91800000000000004</c:v>
                </c:pt>
                <c:pt idx="1">
                  <c:v>7.0999999999999994E-2</c:v>
                </c:pt>
              </c:numCache>
            </c:numRef>
          </c:val>
        </c:ser>
        <c:axId val="69923200"/>
        <c:axId val="69924736"/>
      </c:barChart>
      <c:catAx>
        <c:axId val="69923200"/>
        <c:scaling>
          <c:orientation val="minMax"/>
        </c:scaling>
        <c:axPos val="b"/>
        <c:tickLblPos val="nextTo"/>
        <c:crossAx val="69924736"/>
        <c:crosses val="autoZero"/>
        <c:auto val="1"/>
        <c:lblAlgn val="ctr"/>
        <c:lblOffset val="100"/>
      </c:catAx>
      <c:valAx>
        <c:axId val="69924736"/>
        <c:scaling>
          <c:orientation val="minMax"/>
        </c:scaling>
        <c:delete val="1"/>
        <c:axPos val="l"/>
        <c:numFmt formatCode="0.0%" sourceLinked="1"/>
        <c:tickLblPos val="none"/>
        <c:crossAx val="69923200"/>
        <c:crosses val="autoZero"/>
        <c:crossBetween val="between"/>
      </c:valAx>
    </c:plotArea>
    <c:plotVisOnly val="1"/>
  </c:chart>
  <c:spPr>
    <a:solidFill>
      <a:schemeClr val="lt1"/>
    </a:solidFill>
    <a:ln w="25400" cap="flat" cmpd="sng" algn="ctr">
      <a:solidFill>
        <a:srgbClr val="336600"/>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style val="21"/>
  <c:chart>
    <c:title>
      <c:tx>
        <c:rich>
          <a:bodyPr/>
          <a:lstStyle/>
          <a:p>
            <a:pPr>
              <a:defRPr/>
            </a:pPr>
            <a:r>
              <a:rPr lang="lt-LT" sz="1600"/>
              <a:t>Ekonominių veiklų pasirinkimas</a:t>
            </a:r>
            <a:endParaRPr lang="en-US" sz="1600"/>
          </a:p>
        </c:rich>
      </c:tx>
    </c:title>
    <c:plotArea>
      <c:layout/>
      <c:barChart>
        <c:barDir val="bar"/>
        <c:grouping val="clustered"/>
        <c:ser>
          <c:idx val="0"/>
          <c:order val="0"/>
          <c:tx>
            <c:strRef>
              <c:f>Sheet1!$B$1</c:f>
              <c:strCache>
                <c:ptCount val="1"/>
                <c:pt idx="0">
                  <c:v>Series 1</c:v>
                </c:pt>
              </c:strCache>
            </c:strRef>
          </c:tx>
          <c:dLbls>
            <c:showVal val="1"/>
          </c:dLbls>
          <c:cat>
            <c:strRef>
              <c:f>Sheet1!$A$2:$A$8</c:f>
              <c:strCache>
                <c:ptCount val="7"/>
                <c:pt idx="0">
                  <c:v>Amatininkų gaminių bei suvenyrų gamyba ir realizavimas</c:v>
                </c:pt>
                <c:pt idx="1">
                  <c:v>Ūkininkų produkcijos realizavimas</c:v>
                </c:pt>
                <c:pt idx="2">
                  <c:v>Kulinarinio paveldo produktų gamyba ir  pardavimas</c:v>
                </c:pt>
                <c:pt idx="3">
                  <c:v>Įvairių paslaugų vietos gyventojams teikimas</c:v>
                </c:pt>
                <c:pt idx="4">
                  <c:v>Nežinau, sunku pasakyti</c:v>
                </c:pt>
                <c:pt idx="5">
                  <c:v>Gamtos gėrybių (grybų, uogų, žolelių ir pan.) rinkimas, džiovinimas ir realizavimas</c:v>
                </c:pt>
                <c:pt idx="6">
                  <c:v>Įvairių paslaugų turistams teikimas jei pasirinkote, tai nurodykite kokios paslaugos būtų aktualios</c:v>
                </c:pt>
              </c:strCache>
            </c:strRef>
          </c:cat>
          <c:val>
            <c:numRef>
              <c:f>Sheet1!$B$2:$B$8</c:f>
              <c:numCache>
                <c:formatCode>0.0%</c:formatCode>
                <c:ptCount val="7"/>
                <c:pt idx="0">
                  <c:v>0.35900000000000032</c:v>
                </c:pt>
                <c:pt idx="1">
                  <c:v>0.34100000000000008</c:v>
                </c:pt>
                <c:pt idx="2">
                  <c:v>0.32400000000000068</c:v>
                </c:pt>
                <c:pt idx="3">
                  <c:v>0.253</c:v>
                </c:pt>
                <c:pt idx="4">
                  <c:v>0.253</c:v>
                </c:pt>
                <c:pt idx="5">
                  <c:v>0.2470000000000003</c:v>
                </c:pt>
                <c:pt idx="6">
                  <c:v>0.18800000000000033</c:v>
                </c:pt>
              </c:numCache>
            </c:numRef>
          </c:val>
        </c:ser>
        <c:axId val="69867008"/>
        <c:axId val="69868544"/>
      </c:barChart>
      <c:catAx>
        <c:axId val="69867008"/>
        <c:scaling>
          <c:orientation val="maxMin"/>
        </c:scaling>
        <c:axPos val="l"/>
        <c:tickLblPos val="nextTo"/>
        <c:crossAx val="69868544"/>
        <c:crosses val="autoZero"/>
        <c:auto val="1"/>
        <c:lblAlgn val="ctr"/>
        <c:lblOffset val="100"/>
      </c:catAx>
      <c:valAx>
        <c:axId val="69868544"/>
        <c:scaling>
          <c:orientation val="minMax"/>
        </c:scaling>
        <c:delete val="1"/>
        <c:axPos val="t"/>
        <c:numFmt formatCode="0.0%" sourceLinked="1"/>
        <c:tickLblPos val="none"/>
        <c:crossAx val="69867008"/>
        <c:crosses val="autoZero"/>
        <c:crossBetween val="between"/>
      </c:valAx>
    </c:plotArea>
    <c:plotVisOnly val="1"/>
  </c:chart>
  <c:spPr>
    <a:solidFill>
      <a:schemeClr val="lt1"/>
    </a:solidFill>
    <a:ln w="25400" cap="flat" cmpd="sng" algn="ctr">
      <a:solidFill>
        <a:srgbClr val="008000"/>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t-LT"/>
  <c:style val="21"/>
  <c:chart>
    <c:title>
      <c:tx>
        <c:rich>
          <a:bodyPr/>
          <a:lstStyle/>
          <a:p>
            <a:pPr>
              <a:defRPr/>
            </a:pPr>
            <a:r>
              <a:rPr lang="lt-LT" sz="1600"/>
              <a:t>Bendruomenių verslo projektai</a:t>
            </a:r>
            <a:endParaRPr lang="en-US" sz="1600"/>
          </a:p>
        </c:rich>
      </c:tx>
      <c:layout>
        <c:manualLayout>
          <c:xMode val="edge"/>
          <c:yMode val="edge"/>
          <c:x val="0.23172794190199927"/>
          <c:y val="3.9215500072541182E-2"/>
        </c:manualLayout>
      </c:layout>
    </c:title>
    <c:plotArea>
      <c:layout/>
      <c:barChart>
        <c:barDir val="col"/>
        <c:grouping val="clustered"/>
        <c:ser>
          <c:idx val="0"/>
          <c:order val="0"/>
          <c:tx>
            <c:strRef>
              <c:f>Sheet1!$B$1</c:f>
              <c:strCache>
                <c:ptCount val="1"/>
                <c:pt idx="0">
                  <c:v>Series 1</c:v>
                </c:pt>
              </c:strCache>
            </c:strRef>
          </c:tx>
          <c:dLbls>
            <c:showVal val="1"/>
          </c:dLbls>
          <c:cat>
            <c:strRef>
              <c:f>Sheet1!$A$2:$A$5</c:f>
              <c:strCache>
                <c:ptCount val="4"/>
                <c:pt idx="0">
                  <c:v>Taip, tai būtų įdomu</c:v>
                </c:pt>
                <c:pt idx="1">
                  <c:v>Nežinome</c:v>
                </c:pt>
                <c:pt idx="2">
                  <c:v>Jau šiuo metu svarstome apie tokių projektų galimybę</c:v>
                </c:pt>
                <c:pt idx="3">
                  <c:v>Tokių projektų neplanuojame</c:v>
                </c:pt>
              </c:strCache>
            </c:strRef>
          </c:cat>
          <c:val>
            <c:numRef>
              <c:f>Sheet1!$B$2:$B$5</c:f>
              <c:numCache>
                <c:formatCode>0.0%</c:formatCode>
                <c:ptCount val="4"/>
                <c:pt idx="0">
                  <c:v>0.41800000000000032</c:v>
                </c:pt>
                <c:pt idx="1">
                  <c:v>0.2470000000000003</c:v>
                </c:pt>
                <c:pt idx="2">
                  <c:v>0.16500000000000001</c:v>
                </c:pt>
                <c:pt idx="3">
                  <c:v>0.1530000000000003</c:v>
                </c:pt>
              </c:numCache>
            </c:numRef>
          </c:val>
        </c:ser>
        <c:axId val="69991040"/>
        <c:axId val="62988672"/>
      </c:barChart>
      <c:catAx>
        <c:axId val="69991040"/>
        <c:scaling>
          <c:orientation val="minMax"/>
        </c:scaling>
        <c:axPos val="b"/>
        <c:tickLblPos val="nextTo"/>
        <c:crossAx val="62988672"/>
        <c:crosses val="autoZero"/>
        <c:auto val="1"/>
        <c:lblAlgn val="ctr"/>
        <c:lblOffset val="100"/>
      </c:catAx>
      <c:valAx>
        <c:axId val="62988672"/>
        <c:scaling>
          <c:orientation val="minMax"/>
        </c:scaling>
        <c:delete val="1"/>
        <c:axPos val="l"/>
        <c:numFmt formatCode="0.0%" sourceLinked="1"/>
        <c:tickLblPos val="none"/>
        <c:crossAx val="69991040"/>
        <c:crosses val="autoZero"/>
        <c:crossBetween val="between"/>
      </c:valAx>
    </c:plotArea>
    <c:plotVisOnly val="1"/>
  </c:chart>
  <c:spPr>
    <a:solidFill>
      <a:schemeClr val="lt1"/>
    </a:solidFill>
    <a:ln w="25400" cap="flat" cmpd="sng" algn="ctr">
      <a:solidFill>
        <a:srgbClr val="336600"/>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t-LT"/>
  <c:style val="21"/>
  <c:chart>
    <c:title>
      <c:tx>
        <c:rich>
          <a:bodyPr/>
          <a:lstStyle/>
          <a:p>
            <a:pPr>
              <a:defRPr/>
            </a:pPr>
            <a:r>
              <a:rPr lang="lt-LT" sz="1600"/>
              <a:t>Kas trukdo Jūsų bendruomenei organizuoti savo verslą ir/arba teikti savo nariams būtiniausias paslaugas?</a:t>
            </a:r>
            <a:endParaRPr lang="en-US" sz="1600"/>
          </a:p>
        </c:rich>
      </c:tx>
    </c:title>
    <c:plotArea>
      <c:layout/>
      <c:barChart>
        <c:barDir val="bar"/>
        <c:grouping val="clustered"/>
        <c:ser>
          <c:idx val="0"/>
          <c:order val="0"/>
          <c:tx>
            <c:strRef>
              <c:f>Sheet1!$B$1</c:f>
              <c:strCache>
                <c:ptCount val="1"/>
                <c:pt idx="0">
                  <c:v>Kas trukdo Jūsų bendruomenei organizuoti savo verslą ir/arba teikti savo nariams būtiniausias paslaugas?</c:v>
                </c:pt>
              </c:strCache>
            </c:strRef>
          </c:tx>
          <c:dLbls>
            <c:showVal val="1"/>
          </c:dLbls>
          <c:cat>
            <c:strRef>
              <c:f>Sheet1!$A$2:$A$9</c:f>
              <c:strCache>
                <c:ptCount val="8"/>
                <c:pt idx="0">
                  <c:v>Bendruomenė neturi poreikio specialiai organizuoti ūkinę veiklą, nes sugebama vietos problemas išspręsti įprastais būdais – giminių, kaimynų ir valdžios paramos dėka</c:v>
                </c:pt>
                <c:pt idx="1">
                  <c:v>Bendruomenė turi užsiimti visuomenine veikla, kuri nesusijusi su pajamų gavimu</c:v>
                </c:pt>
                <c:pt idx="2">
                  <c:v>Bendruomenei trūksta žinių ir paslaugų organizavimo patirties</c:v>
                </c:pt>
                <c:pt idx="3">
                  <c:v>Trūksta palaikymo iš šalies, niekas iš valdžios ir verslo atstovų su bendruomene apie tai nešneka</c:v>
                </c:pt>
                <c:pt idx="4">
                  <c:v>Bendruomeninė organizacija yra per silpna organizaciniu požiūriu, kad galėtų sėkmingai imtis ūkinės veiklos</c:v>
                </c:pt>
                <c:pt idx="5">
                  <c:v>Trūksta gerų idėjų</c:v>
                </c:pt>
                <c:pt idx="6">
                  <c:v>Bendruomenėje daugelis nenori rizikuoti ir vengia atsakomybės</c:v>
                </c:pt>
                <c:pt idx="7">
                  <c:v>Bendruomenė neturi kapitalo ūkinei veiklai vykdyti</c:v>
                </c:pt>
              </c:strCache>
            </c:strRef>
          </c:cat>
          <c:val>
            <c:numRef>
              <c:f>Sheet1!$B$2:$B$9</c:f>
              <c:numCache>
                <c:formatCode>0.0%</c:formatCode>
                <c:ptCount val="8"/>
                <c:pt idx="0">
                  <c:v>7.0999999999999994E-2</c:v>
                </c:pt>
                <c:pt idx="1">
                  <c:v>0.12400000000000012</c:v>
                </c:pt>
                <c:pt idx="2">
                  <c:v>0.20600000000000004</c:v>
                </c:pt>
                <c:pt idx="3">
                  <c:v>0.25900000000000001</c:v>
                </c:pt>
                <c:pt idx="4">
                  <c:v>0.30000000000000032</c:v>
                </c:pt>
                <c:pt idx="5">
                  <c:v>0.32900000000000085</c:v>
                </c:pt>
                <c:pt idx="6">
                  <c:v>0.37100000000000061</c:v>
                </c:pt>
                <c:pt idx="7">
                  <c:v>0.60600000000000065</c:v>
                </c:pt>
              </c:numCache>
            </c:numRef>
          </c:val>
        </c:ser>
        <c:axId val="63054592"/>
        <c:axId val="63056128"/>
      </c:barChart>
      <c:catAx>
        <c:axId val="63054592"/>
        <c:scaling>
          <c:orientation val="minMax"/>
        </c:scaling>
        <c:axPos val="l"/>
        <c:tickLblPos val="nextTo"/>
        <c:crossAx val="63056128"/>
        <c:crosses val="autoZero"/>
        <c:auto val="1"/>
        <c:lblAlgn val="ctr"/>
        <c:lblOffset val="100"/>
      </c:catAx>
      <c:valAx>
        <c:axId val="63056128"/>
        <c:scaling>
          <c:orientation val="minMax"/>
        </c:scaling>
        <c:delete val="1"/>
        <c:axPos val="b"/>
        <c:numFmt formatCode="0.0%" sourceLinked="1"/>
        <c:tickLblPos val="none"/>
        <c:crossAx val="63054592"/>
        <c:crosses val="autoZero"/>
        <c:crossBetween val="between"/>
      </c:valAx>
    </c:plotArea>
    <c:plotVisOnly val="1"/>
  </c:chart>
  <c:spPr>
    <a:solidFill>
      <a:schemeClr val="lt1"/>
    </a:solidFill>
    <a:ln w="25400" cap="flat" cmpd="sng" algn="ctr">
      <a:solidFill>
        <a:srgbClr val="008000"/>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63475-9509-4D74-9640-8776DE02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4982</Words>
  <Characters>2841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VVG</cp:lastModifiedBy>
  <cp:revision>5</cp:revision>
  <cp:lastPrinted>2015-09-29T13:44:00Z</cp:lastPrinted>
  <dcterms:created xsi:type="dcterms:W3CDTF">2015-09-29T13:44:00Z</dcterms:created>
  <dcterms:modified xsi:type="dcterms:W3CDTF">2016-12-02T12:19:00Z</dcterms:modified>
</cp:coreProperties>
</file>